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7C5CA" w14:textId="77777777" w:rsidR="00447AEB" w:rsidRDefault="00447AEB" w:rsidP="00447AEB">
      <w:pPr>
        <w:tabs>
          <w:tab w:val="left" w:pos="5954"/>
        </w:tabs>
        <w:ind w:left="4253"/>
        <w:rPr>
          <w:sz w:val="16"/>
          <w:szCs w:val="16"/>
        </w:rPr>
      </w:pPr>
      <w:bookmarkStart w:id="0" w:name="Default"/>
      <w:bookmarkEnd w:id="0"/>
    </w:p>
    <w:p w14:paraId="460BCDBE" w14:textId="46754FD8" w:rsidR="00447AEB" w:rsidRDefault="00447AEB" w:rsidP="00447AEB">
      <w:pPr>
        <w:tabs>
          <w:tab w:val="left" w:pos="5954"/>
        </w:tabs>
        <w:ind w:left="4253"/>
        <w:rPr>
          <w:sz w:val="16"/>
          <w:szCs w:val="16"/>
        </w:rPr>
      </w:pPr>
      <w:r>
        <w:rPr>
          <w:sz w:val="16"/>
          <w:szCs w:val="16"/>
        </w:rPr>
        <w:t>Officer:</w:t>
      </w:r>
      <w:r>
        <w:rPr>
          <w:sz w:val="16"/>
          <w:szCs w:val="16"/>
        </w:rPr>
        <w:tab/>
      </w:r>
      <w:r w:rsidR="00D47F23">
        <w:rPr>
          <w:sz w:val="16"/>
          <w:szCs w:val="16"/>
        </w:rPr>
        <w:t>Ian Marshall</w:t>
      </w:r>
      <w:bookmarkStart w:id="1" w:name="OFFNAME"/>
      <w:bookmarkEnd w:id="1"/>
    </w:p>
    <w:p w14:paraId="4DE0D96D" w14:textId="5300A08E" w:rsidR="00447AEB" w:rsidRDefault="00447AEB" w:rsidP="00447AEB">
      <w:pPr>
        <w:tabs>
          <w:tab w:val="left" w:pos="5954"/>
        </w:tabs>
        <w:ind w:left="4253"/>
        <w:rPr>
          <w:sz w:val="16"/>
          <w:szCs w:val="16"/>
        </w:rPr>
      </w:pPr>
      <w:r>
        <w:rPr>
          <w:sz w:val="16"/>
          <w:szCs w:val="16"/>
        </w:rPr>
        <w:t>Direct Telephone:</w:t>
      </w:r>
      <w:r>
        <w:rPr>
          <w:sz w:val="16"/>
          <w:szCs w:val="16"/>
        </w:rPr>
        <w:tab/>
      </w:r>
      <w:r w:rsidR="00F965F4">
        <w:rPr>
          <w:sz w:val="16"/>
          <w:szCs w:val="16"/>
        </w:rPr>
        <w:t>(</w:t>
      </w:r>
      <w:r w:rsidR="00D47F23">
        <w:rPr>
          <w:sz w:val="16"/>
          <w:szCs w:val="16"/>
        </w:rPr>
        <w:t>07</w:t>
      </w:r>
      <w:r w:rsidR="00F965F4">
        <w:rPr>
          <w:sz w:val="16"/>
          <w:szCs w:val="16"/>
        </w:rPr>
        <w:t xml:space="preserve">) </w:t>
      </w:r>
      <w:r w:rsidR="00D47F23">
        <w:rPr>
          <w:sz w:val="16"/>
          <w:szCs w:val="16"/>
        </w:rPr>
        <w:t>5475</w:t>
      </w:r>
      <w:r w:rsidR="00F965F4">
        <w:rPr>
          <w:sz w:val="16"/>
          <w:szCs w:val="16"/>
        </w:rPr>
        <w:t xml:space="preserve"> </w:t>
      </w:r>
      <w:r w:rsidR="00D47F23">
        <w:rPr>
          <w:sz w:val="16"/>
          <w:szCs w:val="16"/>
        </w:rPr>
        <w:t>9832</w:t>
      </w:r>
      <w:bookmarkStart w:id="2" w:name="TELNO"/>
      <w:bookmarkEnd w:id="2"/>
    </w:p>
    <w:p w14:paraId="4601F78D" w14:textId="65FFD783" w:rsidR="00447AEB" w:rsidRDefault="00447AEB" w:rsidP="00447AEB">
      <w:pPr>
        <w:tabs>
          <w:tab w:val="left" w:pos="5954"/>
        </w:tabs>
        <w:ind w:left="4253"/>
        <w:rPr>
          <w:sz w:val="16"/>
          <w:szCs w:val="16"/>
        </w:rPr>
      </w:pPr>
      <w:r>
        <w:rPr>
          <w:sz w:val="16"/>
          <w:szCs w:val="16"/>
        </w:rPr>
        <w:t>Our Reference:</w:t>
      </w:r>
      <w:r>
        <w:rPr>
          <w:sz w:val="16"/>
          <w:szCs w:val="16"/>
        </w:rPr>
        <w:tab/>
      </w:r>
      <w:r w:rsidR="00D47F23">
        <w:rPr>
          <w:sz w:val="16"/>
          <w:szCs w:val="16"/>
        </w:rPr>
        <w:t>IM006</w:t>
      </w:r>
      <w:bookmarkStart w:id="3" w:name="OFFINIT"/>
      <w:bookmarkEnd w:id="3"/>
      <w:r w:rsidR="0094779B">
        <w:rPr>
          <w:sz w:val="16"/>
          <w:szCs w:val="16"/>
        </w:rPr>
        <w:t>:</w:t>
      </w:r>
      <w:r w:rsidR="00D47F23">
        <w:rPr>
          <w:sz w:val="16"/>
          <w:szCs w:val="16"/>
        </w:rPr>
        <w:t>TC026</w:t>
      </w:r>
      <w:bookmarkStart w:id="4" w:name="TYPINIT"/>
      <w:bookmarkEnd w:id="4"/>
      <w:r w:rsidR="00034AE5">
        <w:rPr>
          <w:sz w:val="16"/>
          <w:szCs w:val="16"/>
        </w:rPr>
        <w:t>:</w:t>
      </w:r>
      <w:r w:rsidR="00D47F23">
        <w:rPr>
          <w:sz w:val="16"/>
          <w:szCs w:val="16"/>
        </w:rPr>
        <w:t>OPW21/0110</w:t>
      </w:r>
      <w:bookmarkStart w:id="5" w:name="DOCID2"/>
      <w:bookmarkEnd w:id="5"/>
    </w:p>
    <w:p w14:paraId="5482A49A" w14:textId="22FBB12E" w:rsidR="00447AEB" w:rsidRDefault="00447AEB" w:rsidP="00447AEB">
      <w:pPr>
        <w:tabs>
          <w:tab w:val="left" w:pos="5954"/>
        </w:tabs>
        <w:ind w:left="4253"/>
        <w:jc w:val="left"/>
        <w:rPr>
          <w:sz w:val="16"/>
          <w:szCs w:val="16"/>
        </w:rPr>
      </w:pPr>
      <w:r>
        <w:rPr>
          <w:sz w:val="16"/>
          <w:szCs w:val="16"/>
        </w:rPr>
        <w:t>Your Reference:</w:t>
      </w:r>
      <w:r>
        <w:rPr>
          <w:sz w:val="16"/>
          <w:szCs w:val="16"/>
        </w:rPr>
        <w:tab/>
      </w:r>
      <w:r w:rsidR="00D47F23">
        <w:rPr>
          <w:sz w:val="16"/>
          <w:szCs w:val="16"/>
        </w:rPr>
        <w:t>18038</w:t>
      </w:r>
      <w:bookmarkStart w:id="6" w:name="YOURREF"/>
      <w:bookmarkEnd w:id="6"/>
    </w:p>
    <w:p w14:paraId="32F1939E" w14:textId="5AB9A8A7" w:rsidR="00046737" w:rsidRDefault="00642036" w:rsidP="00046737">
      <w:r>
        <w:t>8</w:t>
      </w:r>
      <w:r w:rsidR="00D47F23">
        <w:t xml:space="preserve"> July 2021</w:t>
      </w:r>
      <w:bookmarkStart w:id="7" w:name="LETDATE"/>
      <w:bookmarkEnd w:id="7"/>
    </w:p>
    <w:p w14:paraId="78B8EEE9" w14:textId="77777777" w:rsidR="00046737" w:rsidRDefault="00046737" w:rsidP="00046737"/>
    <w:p w14:paraId="69B24AAA" w14:textId="77777777" w:rsidR="00046737" w:rsidRDefault="00046737" w:rsidP="00046737"/>
    <w:p w14:paraId="1EDE8162" w14:textId="77777777" w:rsidR="00D47F23" w:rsidRDefault="00D47F23" w:rsidP="00046737">
      <w:r>
        <w:t>Pacific Diamond 88 Pty Ltd</w:t>
      </w:r>
    </w:p>
    <w:p w14:paraId="4568B3A7" w14:textId="77777777" w:rsidR="00D47F23" w:rsidRDefault="00D47F23" w:rsidP="00046737">
      <w:r>
        <w:t>C/- Project Urban Pty Ltd</w:t>
      </w:r>
    </w:p>
    <w:p w14:paraId="70E587BB" w14:textId="77777777" w:rsidR="00D47F23" w:rsidRDefault="00D47F23" w:rsidP="00046737">
      <w:r>
        <w:t>PO Box 6380</w:t>
      </w:r>
    </w:p>
    <w:p w14:paraId="77E75CDB" w14:textId="30950047" w:rsidR="00046737" w:rsidRPr="00DF1560" w:rsidRDefault="00D47F23" w:rsidP="00046737">
      <w:r>
        <w:t>MAROOCHYDORE  QLD  4558</w:t>
      </w:r>
      <w:bookmarkStart w:id="8" w:name="APPLADDR"/>
      <w:bookmarkEnd w:id="8"/>
    </w:p>
    <w:p w14:paraId="01E23C7E" w14:textId="77777777" w:rsidR="00046737" w:rsidRPr="00DF1560" w:rsidRDefault="00046737" w:rsidP="00046737"/>
    <w:p w14:paraId="5F3755DC" w14:textId="77777777" w:rsidR="00046737" w:rsidRPr="00DF1560" w:rsidRDefault="00046737" w:rsidP="00046737"/>
    <w:p w14:paraId="68E5B994" w14:textId="77777777" w:rsidR="00046737" w:rsidRPr="00DF1560" w:rsidRDefault="00046737" w:rsidP="00046737">
      <w:r w:rsidRPr="00DF1560">
        <w:t>Dear Sir/Madam</w:t>
      </w:r>
    </w:p>
    <w:p w14:paraId="500D5FBF" w14:textId="77777777" w:rsidR="00046737" w:rsidRPr="00DF1560" w:rsidRDefault="00046737" w:rsidP="00046737"/>
    <w:p w14:paraId="2C1EFB54" w14:textId="7B97E8EB" w:rsidR="00046737" w:rsidRPr="00DF1560" w:rsidRDefault="00046737" w:rsidP="00046737">
      <w:pPr>
        <w:rPr>
          <w:b/>
          <w:caps/>
        </w:rPr>
      </w:pPr>
      <w:r w:rsidRPr="00DF1560">
        <w:rPr>
          <w:b/>
          <w:caps/>
        </w:rPr>
        <w:t xml:space="preserve">Decision Notice – APPROVAL – </w:t>
      </w:r>
      <w:r w:rsidR="00D47F23">
        <w:rPr>
          <w:b/>
          <w:caps/>
        </w:rPr>
        <w:t>OPW21/0110</w:t>
      </w:r>
      <w:bookmarkStart w:id="9" w:name="DOCID"/>
      <w:bookmarkEnd w:id="9"/>
      <w:r w:rsidRPr="00DF1560">
        <w:rPr>
          <w:b/>
          <w:caps/>
        </w:rPr>
        <w:t xml:space="preserve"> </w:t>
      </w:r>
      <w:r w:rsidR="00D333E3">
        <w:rPr>
          <w:b/>
          <w:caps/>
        </w:rPr>
        <w:t xml:space="preserve">- </w:t>
      </w:r>
      <w:r w:rsidR="00D47F23">
        <w:rPr>
          <w:b/>
          <w:caps/>
        </w:rPr>
        <w:t>Lot 1 RP 201319</w:t>
      </w:r>
      <w:r w:rsidR="00F965F4">
        <w:rPr>
          <w:b/>
          <w:caps/>
        </w:rPr>
        <w:t xml:space="preserve">, </w:t>
      </w:r>
      <w:r w:rsidR="00D47F23">
        <w:rPr>
          <w:b/>
          <w:caps/>
        </w:rPr>
        <w:t>Lot 280 B 92911</w:t>
      </w:r>
      <w:r w:rsidR="00F965F4">
        <w:rPr>
          <w:b/>
          <w:caps/>
        </w:rPr>
        <w:t xml:space="preserve">, </w:t>
      </w:r>
      <w:r w:rsidR="00D47F23">
        <w:rPr>
          <w:b/>
          <w:caps/>
        </w:rPr>
        <w:t>Lot 281 B 92911</w:t>
      </w:r>
      <w:r w:rsidR="00F965F4">
        <w:rPr>
          <w:b/>
          <w:caps/>
        </w:rPr>
        <w:t xml:space="preserve">, </w:t>
      </w:r>
      <w:r w:rsidR="00D47F23">
        <w:rPr>
          <w:b/>
          <w:caps/>
        </w:rPr>
        <w:t>Lot 282 B 92911</w:t>
      </w:r>
      <w:r w:rsidR="00F965F4">
        <w:rPr>
          <w:b/>
          <w:caps/>
        </w:rPr>
        <w:t xml:space="preserve">, </w:t>
      </w:r>
      <w:r w:rsidR="00D47F23">
        <w:rPr>
          <w:b/>
          <w:caps/>
        </w:rPr>
        <w:t>Lot 310 B 92911</w:t>
      </w:r>
      <w:r w:rsidR="00F965F4">
        <w:rPr>
          <w:b/>
          <w:caps/>
        </w:rPr>
        <w:t xml:space="preserve">, </w:t>
      </w:r>
      <w:r w:rsidR="00D47F23">
        <w:rPr>
          <w:b/>
          <w:caps/>
        </w:rPr>
        <w:t>Lot 311 B 92911</w:t>
      </w:r>
      <w:bookmarkStart w:id="10" w:name="LEGALDESC"/>
      <w:bookmarkEnd w:id="10"/>
      <w:r w:rsidR="00D333E3">
        <w:rPr>
          <w:b/>
          <w:caps/>
        </w:rPr>
        <w:t xml:space="preserve"> </w:t>
      </w:r>
      <w:r w:rsidRPr="00DF1560">
        <w:rPr>
          <w:b/>
          <w:caps/>
        </w:rPr>
        <w:t xml:space="preserve">– </w:t>
      </w:r>
      <w:r w:rsidR="00D47F23">
        <w:rPr>
          <w:b/>
          <w:caps/>
        </w:rPr>
        <w:t>2 Talinga St BUDDINA  QLD  4575</w:t>
      </w:r>
      <w:bookmarkStart w:id="11" w:name="PROPADDRSL"/>
      <w:bookmarkEnd w:id="11"/>
      <w:r w:rsidR="00F965F4">
        <w:rPr>
          <w:b/>
          <w:caps/>
        </w:rPr>
        <w:t>,</w:t>
      </w:r>
      <w:r w:rsidR="0094779B">
        <w:rPr>
          <w:b/>
          <w:caps/>
        </w:rPr>
        <w:t xml:space="preserve"> </w:t>
      </w:r>
      <w:r w:rsidR="00D47F23">
        <w:rPr>
          <w:b/>
          <w:caps/>
        </w:rPr>
        <w:t>84 Pacific Bvd BUDDINA  QLD  4575, 63 Iluka Ave BUDDINA  QLD  4575, 61 Iluka Ave BUDDINA  QLD  4575, 85 Pacific Bvd BUDDINA  QLD  4575, 6 Talinga St BUDDINA  QLD  4575</w:t>
      </w:r>
      <w:bookmarkStart w:id="12" w:name="PROTHADDSL"/>
      <w:bookmarkEnd w:id="12"/>
    </w:p>
    <w:p w14:paraId="3B9C904B" w14:textId="77777777" w:rsidR="00046737" w:rsidRPr="00DF1560" w:rsidRDefault="00046737" w:rsidP="00046737"/>
    <w:p w14:paraId="005871BB" w14:textId="5F387AA2" w:rsidR="00046737" w:rsidRPr="00DF1560" w:rsidRDefault="00046737" w:rsidP="00046737">
      <w:pPr>
        <w:rPr>
          <w:szCs w:val="22"/>
        </w:rPr>
      </w:pPr>
      <w:r w:rsidRPr="00DF1560">
        <w:t>I refer to your application and advise that</w:t>
      </w:r>
      <w:r w:rsidRPr="00DF1560">
        <w:rPr>
          <w:szCs w:val="22"/>
        </w:rPr>
        <w:t xml:space="preserve"> on </w:t>
      </w:r>
      <w:r w:rsidR="00D47F23">
        <w:rPr>
          <w:szCs w:val="22"/>
        </w:rPr>
        <w:t>25 June 2021</w:t>
      </w:r>
      <w:bookmarkStart w:id="13" w:name="DECDATE"/>
      <w:bookmarkEnd w:id="13"/>
      <w:r w:rsidRPr="00DF1560">
        <w:t xml:space="preserve"> </w:t>
      </w:r>
      <w:r w:rsidR="00B92079">
        <w:t>c</w:t>
      </w:r>
      <w:r w:rsidRPr="00DF1560">
        <w:rPr>
          <w:szCs w:val="22"/>
        </w:rPr>
        <w:t xml:space="preserve">ouncil decided to </w:t>
      </w:r>
      <w:bookmarkStart w:id="14" w:name="ApprovInFullPart"/>
      <w:bookmarkEnd w:id="14"/>
      <w:r w:rsidR="00D47F23">
        <w:rPr>
          <w:szCs w:val="22"/>
        </w:rPr>
        <w:t>approve the application</w:t>
      </w:r>
      <w:r w:rsidR="00450730">
        <w:rPr>
          <w:szCs w:val="22"/>
        </w:rPr>
        <w:t xml:space="preserve"> </w:t>
      </w:r>
      <w:r w:rsidRPr="00DF1560">
        <w:rPr>
          <w:szCs w:val="22"/>
        </w:rPr>
        <w:t>subject to conditions.</w:t>
      </w:r>
    </w:p>
    <w:p w14:paraId="5C0FB64C" w14:textId="77777777" w:rsidR="00046737" w:rsidRPr="00DF1560" w:rsidRDefault="00046737" w:rsidP="00046737">
      <w:pPr>
        <w:jc w:val="left"/>
        <w:rPr>
          <w:szCs w:val="22"/>
        </w:rPr>
      </w:pPr>
    </w:p>
    <w:p w14:paraId="61D1779F" w14:textId="77777777" w:rsidR="00046737" w:rsidRPr="00DF1560" w:rsidRDefault="00046737" w:rsidP="00046737">
      <w:r w:rsidRPr="00DF1560">
        <w:t>The following type of approval has been issued:</w:t>
      </w:r>
    </w:p>
    <w:p w14:paraId="3BE6FA36" w14:textId="77777777" w:rsidR="00046737" w:rsidRDefault="00046737" w:rsidP="00046737"/>
    <w:tbl>
      <w:tblPr>
        <w:tblStyle w:val="TableGrid"/>
        <w:tblW w:w="8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079"/>
      </w:tblGrid>
      <w:tr w:rsidR="00C473FC" w14:paraId="5D63B642" w14:textId="77777777" w:rsidTr="001F0F1D">
        <w:tc>
          <w:tcPr>
            <w:tcW w:w="851" w:type="dxa"/>
          </w:tcPr>
          <w:p w14:paraId="2719AF3A" w14:textId="77777777" w:rsidR="00C473FC" w:rsidRDefault="00C473FC" w:rsidP="00074298">
            <w:pPr>
              <w:pStyle w:val="ListParagraph"/>
              <w:numPr>
                <w:ilvl w:val="0"/>
                <w:numId w:val="19"/>
              </w:numPr>
              <w:tabs>
                <w:tab w:val="left" w:pos="360"/>
              </w:tabs>
              <w:jc w:val="left"/>
            </w:pPr>
          </w:p>
        </w:tc>
        <w:tc>
          <w:tcPr>
            <w:tcW w:w="8079" w:type="dxa"/>
          </w:tcPr>
          <w:p w14:paraId="1F641419" w14:textId="3CBEB21B" w:rsidR="00C473FC" w:rsidRPr="00D47F23" w:rsidRDefault="00D47F23" w:rsidP="00D47F23">
            <w:pPr>
              <w:autoSpaceDE w:val="0"/>
              <w:autoSpaceDN w:val="0"/>
              <w:adjustRightInd w:val="0"/>
              <w:jc w:val="left"/>
              <w:rPr>
                <w:rFonts w:ascii="MS Sans Serif" w:hAnsi="MS Sans Serif" w:cs="MS Sans Serif"/>
                <w:color w:val="000000"/>
                <w:sz w:val="14"/>
                <w:szCs w:val="14"/>
              </w:rPr>
            </w:pPr>
            <w:r>
              <w:rPr>
                <w:rFonts w:cs="Arial"/>
                <w:szCs w:val="22"/>
              </w:rPr>
              <w:t>Development Permit for Operational Work (Drainage Works, Stormwater, Earthworks, Civil and Coastal Protection)</w:t>
            </w:r>
            <w:bookmarkStart w:id="15" w:name="PROPUSE"/>
            <w:bookmarkEnd w:id="15"/>
          </w:p>
        </w:tc>
      </w:tr>
    </w:tbl>
    <w:p w14:paraId="5553DE23" w14:textId="77777777" w:rsidR="00C473FC" w:rsidRDefault="00C473FC" w:rsidP="00046737"/>
    <w:p w14:paraId="0D7DCE98" w14:textId="4BFCC687" w:rsidR="00524443" w:rsidRPr="00524443" w:rsidRDefault="00046737" w:rsidP="00524443">
      <w:pPr>
        <w:rPr>
          <w:rFonts w:cs="Arial"/>
          <w:szCs w:val="22"/>
          <w:lang w:eastAsia="en-US"/>
        </w:rPr>
      </w:pPr>
      <w:r w:rsidRPr="00DF1560">
        <w:rPr>
          <w:szCs w:val="22"/>
        </w:rPr>
        <w:t xml:space="preserve">A copy of the development approval granted by this </w:t>
      </w:r>
      <w:r w:rsidR="00570DCA">
        <w:rPr>
          <w:szCs w:val="22"/>
        </w:rPr>
        <w:t>d</w:t>
      </w:r>
      <w:r w:rsidRPr="00DF1560">
        <w:rPr>
          <w:szCs w:val="22"/>
        </w:rPr>
        <w:t xml:space="preserve">ecision </w:t>
      </w:r>
      <w:r w:rsidR="00570DCA">
        <w:rPr>
          <w:szCs w:val="22"/>
        </w:rPr>
        <w:t>n</w:t>
      </w:r>
      <w:r w:rsidRPr="00DF1560">
        <w:rPr>
          <w:szCs w:val="22"/>
        </w:rPr>
        <w:t>otice is attached.</w:t>
      </w:r>
      <w:r w:rsidR="00816927">
        <w:rPr>
          <w:szCs w:val="22"/>
        </w:rPr>
        <w:t xml:space="preserve"> </w:t>
      </w:r>
      <w:r w:rsidR="00083BE7">
        <w:rPr>
          <w:szCs w:val="22"/>
        </w:rPr>
        <w:t xml:space="preserve"> </w:t>
      </w:r>
    </w:p>
    <w:p w14:paraId="2E6B4395" w14:textId="77777777" w:rsidR="00524443" w:rsidRDefault="00524443" w:rsidP="00524443">
      <w:pPr>
        <w:rPr>
          <w:szCs w:val="22"/>
          <w:lang w:eastAsia="en-US"/>
        </w:rPr>
      </w:pPr>
    </w:p>
    <w:p w14:paraId="640C84F7" w14:textId="77777777" w:rsidR="008E3E66" w:rsidRDefault="008E3E66" w:rsidP="00046737">
      <w:pPr>
        <w:rPr>
          <w:szCs w:val="22"/>
        </w:rPr>
      </w:pPr>
      <w:r w:rsidRPr="008E3E66">
        <w:t>A copy of the relevant appeal provisions is also attached.</w:t>
      </w:r>
    </w:p>
    <w:p w14:paraId="4F55EFC4" w14:textId="77777777" w:rsidR="008E3E66" w:rsidRPr="00DF1560" w:rsidRDefault="008E3E66" w:rsidP="00046737">
      <w:pPr>
        <w:rPr>
          <w:szCs w:val="22"/>
        </w:rPr>
      </w:pPr>
    </w:p>
    <w:p w14:paraId="2EDC0B98" w14:textId="77777777" w:rsidR="00046737" w:rsidRPr="00DF1560" w:rsidRDefault="00046737" w:rsidP="00046737">
      <w:pPr>
        <w:tabs>
          <w:tab w:val="left" w:pos="567"/>
        </w:tabs>
        <w:rPr>
          <w:szCs w:val="22"/>
        </w:rPr>
      </w:pPr>
      <w:r w:rsidRPr="00DF1560">
        <w:rPr>
          <w:szCs w:val="22"/>
        </w:rPr>
        <w:t xml:space="preserve">During the appeal period, you as the applicant may suspend your appeal period and make written representations to council about a matter contained within this </w:t>
      </w:r>
      <w:r w:rsidR="00570DCA">
        <w:rPr>
          <w:szCs w:val="22"/>
        </w:rPr>
        <w:t>d</w:t>
      </w:r>
      <w:r w:rsidRPr="00DF1560">
        <w:rPr>
          <w:szCs w:val="22"/>
        </w:rPr>
        <w:t xml:space="preserve">ecision </w:t>
      </w:r>
      <w:r w:rsidR="00570DCA">
        <w:rPr>
          <w:szCs w:val="22"/>
        </w:rPr>
        <w:t>n</w:t>
      </w:r>
      <w:r w:rsidRPr="00DF1560">
        <w:rPr>
          <w:szCs w:val="22"/>
        </w:rPr>
        <w:t xml:space="preserve">otice. If council agrees or agrees in part with the representations, a </w:t>
      </w:r>
      <w:r w:rsidR="00570DCA">
        <w:rPr>
          <w:szCs w:val="22"/>
        </w:rPr>
        <w:t>n</w:t>
      </w:r>
      <w:r w:rsidRPr="00DF1560">
        <w:rPr>
          <w:szCs w:val="22"/>
        </w:rPr>
        <w:t xml:space="preserve">egotiated </w:t>
      </w:r>
      <w:r w:rsidR="00570DCA">
        <w:rPr>
          <w:szCs w:val="22"/>
        </w:rPr>
        <w:t>d</w:t>
      </w:r>
      <w:r w:rsidRPr="00DF1560">
        <w:rPr>
          <w:szCs w:val="22"/>
        </w:rPr>
        <w:t xml:space="preserve">ecision </w:t>
      </w:r>
      <w:r w:rsidR="00570DCA">
        <w:rPr>
          <w:szCs w:val="22"/>
        </w:rPr>
        <w:t>n</w:t>
      </w:r>
      <w:r w:rsidRPr="00DF1560">
        <w:rPr>
          <w:szCs w:val="22"/>
        </w:rPr>
        <w:t xml:space="preserve">otice will be issued. Only one </w:t>
      </w:r>
      <w:r w:rsidR="00570DCA">
        <w:rPr>
          <w:szCs w:val="22"/>
        </w:rPr>
        <w:t>n</w:t>
      </w:r>
      <w:r w:rsidRPr="00DF1560">
        <w:rPr>
          <w:szCs w:val="22"/>
        </w:rPr>
        <w:t xml:space="preserve">egotiated </w:t>
      </w:r>
      <w:r w:rsidR="00570DCA">
        <w:rPr>
          <w:szCs w:val="22"/>
        </w:rPr>
        <w:t>d</w:t>
      </w:r>
      <w:r w:rsidRPr="00DF1560">
        <w:rPr>
          <w:szCs w:val="22"/>
        </w:rPr>
        <w:t xml:space="preserve">ecision </w:t>
      </w:r>
      <w:r w:rsidR="00570DCA">
        <w:rPr>
          <w:szCs w:val="22"/>
        </w:rPr>
        <w:t>n</w:t>
      </w:r>
      <w:r w:rsidRPr="00DF1560">
        <w:rPr>
          <w:szCs w:val="22"/>
        </w:rPr>
        <w:t xml:space="preserve">otice may be given.  </w:t>
      </w:r>
    </w:p>
    <w:p w14:paraId="4AB59472" w14:textId="77777777" w:rsidR="00046737" w:rsidRPr="00DF1560" w:rsidRDefault="00046737" w:rsidP="00046737">
      <w:pPr>
        <w:rPr>
          <w:szCs w:val="22"/>
        </w:rPr>
      </w:pPr>
    </w:p>
    <w:p w14:paraId="330CA52B" w14:textId="1D84EE62" w:rsidR="00046737" w:rsidRPr="00DF1560" w:rsidRDefault="00046737" w:rsidP="00046737">
      <w:r w:rsidRPr="00DF1560">
        <w:rPr>
          <w:szCs w:val="22"/>
        </w:rPr>
        <w:t xml:space="preserve">Should you have any further queries in relation to this decision, please do not hesitate to contact </w:t>
      </w:r>
      <w:r w:rsidR="00D47F23">
        <w:rPr>
          <w:szCs w:val="22"/>
        </w:rPr>
        <w:t>Ian Marshall</w:t>
      </w:r>
      <w:bookmarkStart w:id="16" w:name="OFFNAME2"/>
      <w:bookmarkEnd w:id="16"/>
      <w:r w:rsidRPr="00DF1560">
        <w:t xml:space="preserve"> on the above number.</w:t>
      </w:r>
    </w:p>
    <w:p w14:paraId="07292E9A" w14:textId="77777777" w:rsidR="00046737" w:rsidRPr="00DF1560" w:rsidRDefault="00046737" w:rsidP="00046737">
      <w:pPr>
        <w:rPr>
          <w:szCs w:val="22"/>
        </w:rPr>
      </w:pPr>
    </w:p>
    <w:p w14:paraId="51ED8477" w14:textId="77777777" w:rsidR="00046737" w:rsidRPr="00DF1560" w:rsidRDefault="00046737" w:rsidP="00046737">
      <w:pPr>
        <w:rPr>
          <w:szCs w:val="22"/>
        </w:rPr>
      </w:pPr>
      <w:r w:rsidRPr="00DF1560">
        <w:rPr>
          <w:szCs w:val="22"/>
        </w:rPr>
        <w:t>Yours faithfully</w:t>
      </w:r>
    </w:p>
    <w:p w14:paraId="1FFF9DC0" w14:textId="77777777" w:rsidR="00046737" w:rsidRPr="00DF1560" w:rsidRDefault="00046737" w:rsidP="00046737">
      <w:pPr>
        <w:rPr>
          <w:szCs w:val="22"/>
        </w:rPr>
      </w:pPr>
    </w:p>
    <w:p w14:paraId="2C53A465" w14:textId="39AFDC5E" w:rsidR="00046737" w:rsidRPr="00DF1560" w:rsidRDefault="00EA17BA" w:rsidP="00046737">
      <w:r w:rsidRPr="007C4712">
        <w:rPr>
          <w:noProof/>
        </w:rPr>
        <w:drawing>
          <wp:inline distT="0" distB="0" distL="0" distR="0" wp14:anchorId="2AA5D09A" wp14:editId="36405E3E">
            <wp:extent cx="1247775" cy="33670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4615" cy="338547"/>
                    </a:xfrm>
                    <a:prstGeom prst="rect">
                      <a:avLst/>
                    </a:prstGeom>
                    <a:noFill/>
                    <a:ln>
                      <a:noFill/>
                    </a:ln>
                  </pic:spPr>
                </pic:pic>
              </a:graphicData>
            </a:graphic>
          </wp:inline>
        </w:drawing>
      </w:r>
    </w:p>
    <w:p w14:paraId="033D3C8F" w14:textId="77777777" w:rsidR="00046737" w:rsidRPr="00DF1560" w:rsidRDefault="00D47F23" w:rsidP="00046737">
      <w:pPr>
        <w:rPr>
          <w:caps/>
        </w:rPr>
      </w:pPr>
      <w:bookmarkStart w:id="17" w:name="OffName3"/>
      <w:bookmarkEnd w:id="17"/>
      <w:r>
        <w:rPr>
          <w:caps/>
        </w:rPr>
        <w:t>ROBERT MACDONALD</w:t>
      </w:r>
    </w:p>
    <w:p w14:paraId="5F48F331" w14:textId="73DFD329" w:rsidR="00046737" w:rsidRDefault="00D47F23" w:rsidP="00046737">
      <w:pPr>
        <w:rPr>
          <w:caps/>
        </w:rPr>
      </w:pPr>
      <w:bookmarkStart w:id="18" w:name="OffTitle"/>
      <w:bookmarkEnd w:id="18"/>
      <w:r>
        <w:rPr>
          <w:caps/>
        </w:rPr>
        <w:t>PRINCIPAL DEVELOPMENT ENGINEER</w:t>
      </w:r>
    </w:p>
    <w:p w14:paraId="6CB4B085" w14:textId="3E5079A6" w:rsidR="00EA17BA" w:rsidRPr="00DF1560" w:rsidRDefault="006D1917" w:rsidP="00046737">
      <w:pPr>
        <w:rPr>
          <w:caps/>
        </w:rPr>
      </w:pPr>
      <w:r>
        <w:rPr>
          <w:caps/>
        </w:rPr>
        <w:t>ENGINEERING AND ENVIRONMENT UNIT</w:t>
      </w:r>
    </w:p>
    <w:p w14:paraId="0CA69651" w14:textId="77777777" w:rsidR="00046737" w:rsidRPr="00DF1560" w:rsidRDefault="00046737" w:rsidP="00046737">
      <w:pPr>
        <w:rPr>
          <w:caps/>
        </w:rPr>
      </w:pPr>
    </w:p>
    <w:p w14:paraId="6DE1610A" w14:textId="77777777" w:rsidR="00046737" w:rsidRPr="00DF1560" w:rsidRDefault="00046737" w:rsidP="00046737">
      <w:pPr>
        <w:ind w:left="567" w:hanging="567"/>
        <w:rPr>
          <w:sz w:val="18"/>
          <w:szCs w:val="18"/>
        </w:rPr>
      </w:pPr>
      <w:r w:rsidRPr="00DF1560">
        <w:rPr>
          <w:sz w:val="18"/>
          <w:szCs w:val="18"/>
        </w:rPr>
        <w:t>Enc:</w:t>
      </w:r>
      <w:r w:rsidRPr="00DF1560">
        <w:rPr>
          <w:sz w:val="18"/>
          <w:szCs w:val="18"/>
        </w:rPr>
        <w:tab/>
        <w:t>Development Approval</w:t>
      </w:r>
    </w:p>
    <w:p w14:paraId="7A549EA3" w14:textId="77777777" w:rsidR="00046737" w:rsidRPr="00DF1560" w:rsidRDefault="00046737" w:rsidP="00046737">
      <w:pPr>
        <w:ind w:left="567"/>
        <w:rPr>
          <w:sz w:val="18"/>
          <w:szCs w:val="18"/>
        </w:rPr>
      </w:pPr>
      <w:r w:rsidRPr="00DF1560">
        <w:rPr>
          <w:sz w:val="18"/>
          <w:szCs w:val="18"/>
        </w:rPr>
        <w:t>Approved Plans</w:t>
      </w:r>
    </w:p>
    <w:p w14:paraId="689EB9EF" w14:textId="77777777" w:rsidR="00046737" w:rsidRPr="00DF1560" w:rsidRDefault="00046737" w:rsidP="00046737">
      <w:pPr>
        <w:ind w:left="567"/>
        <w:rPr>
          <w:sz w:val="18"/>
          <w:szCs w:val="18"/>
        </w:rPr>
      </w:pPr>
      <w:r w:rsidRPr="00DF1560">
        <w:rPr>
          <w:sz w:val="18"/>
          <w:szCs w:val="18"/>
        </w:rPr>
        <w:t>Appeal Rights</w:t>
      </w:r>
    </w:p>
    <w:p w14:paraId="4FADE543" w14:textId="599CB672" w:rsidR="00C62CF1" w:rsidRPr="006D1917" w:rsidRDefault="00046737" w:rsidP="006D1917">
      <w:pPr>
        <w:rPr>
          <w:sz w:val="18"/>
          <w:szCs w:val="18"/>
        </w:rPr>
      </w:pPr>
      <w:r w:rsidRPr="00DF1560">
        <w:rPr>
          <w:sz w:val="18"/>
          <w:szCs w:val="18"/>
        </w:rPr>
        <w:t>Cc:</w:t>
      </w:r>
      <w:r w:rsidR="00F965F4">
        <w:rPr>
          <w:sz w:val="18"/>
          <w:szCs w:val="18"/>
        </w:rPr>
        <w:t xml:space="preserve">      </w:t>
      </w:r>
      <w:r w:rsidRPr="00DF1560">
        <w:rPr>
          <w:sz w:val="18"/>
          <w:szCs w:val="18"/>
        </w:rPr>
        <w:t>Unitywater</w:t>
      </w:r>
      <w:bookmarkStart w:id="19" w:name="ReferralAgencies"/>
      <w:bookmarkStart w:id="20" w:name="ReferralAgencies2"/>
      <w:bookmarkStart w:id="21" w:name="ReferralAgencies3"/>
      <w:bookmarkEnd w:id="19"/>
      <w:bookmarkEnd w:id="20"/>
      <w:bookmarkEnd w:id="21"/>
    </w:p>
    <w:p w14:paraId="5A919B4A" w14:textId="7E34EE7B" w:rsidR="00046737" w:rsidRPr="00B424AC" w:rsidRDefault="00046737" w:rsidP="00046737">
      <w:pPr>
        <w:jc w:val="center"/>
        <w:rPr>
          <w:b/>
          <w:sz w:val="36"/>
          <w:szCs w:val="36"/>
        </w:rPr>
      </w:pPr>
      <w:r w:rsidRPr="00B424AC">
        <w:rPr>
          <w:b/>
          <w:sz w:val="36"/>
          <w:szCs w:val="36"/>
        </w:rPr>
        <w:lastRenderedPageBreak/>
        <w:t>Development Approval</w:t>
      </w:r>
    </w:p>
    <w:p w14:paraId="1EFF4AE3" w14:textId="77777777" w:rsidR="005E755E" w:rsidRDefault="005E755E" w:rsidP="005E755E">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A0" w:firstRow="1" w:lastRow="0" w:firstColumn="1" w:lastColumn="0" w:noHBand="0" w:noVBand="0"/>
      </w:tblPr>
      <w:tblGrid>
        <w:gridCol w:w="8641"/>
      </w:tblGrid>
      <w:tr w:rsidR="00F965F4" w14:paraId="6BA93363" w14:textId="77777777" w:rsidTr="00F965F4">
        <w:tc>
          <w:tcPr>
            <w:tcW w:w="8642" w:type="dxa"/>
            <w:tcBorders>
              <w:top w:val="single" w:sz="4" w:space="0" w:color="auto"/>
              <w:left w:val="single" w:sz="4" w:space="0" w:color="auto"/>
              <w:bottom w:val="single" w:sz="4" w:space="0" w:color="auto"/>
              <w:right w:val="single" w:sz="4" w:space="0" w:color="auto"/>
            </w:tcBorders>
            <w:shd w:val="clear" w:color="auto" w:fill="E6E6E6"/>
            <w:hideMark/>
          </w:tcPr>
          <w:p w14:paraId="5DF06D97" w14:textId="77777777" w:rsidR="00F965F4" w:rsidRDefault="00F965F4">
            <w:pPr>
              <w:pStyle w:val="DAHeading"/>
              <w:numPr>
                <w:ilvl w:val="0"/>
                <w:numId w:val="0"/>
              </w:numPr>
              <w:tabs>
                <w:tab w:val="left" w:pos="720"/>
              </w:tabs>
            </w:pPr>
            <w:r>
              <w:t>APPLICATION DETAILS</w:t>
            </w:r>
          </w:p>
        </w:tc>
      </w:tr>
    </w:tbl>
    <w:p w14:paraId="55254EA1" w14:textId="77777777" w:rsidR="00F965F4" w:rsidRDefault="00F965F4" w:rsidP="00F965F4">
      <w:pPr>
        <w:rPr>
          <w:szCs w:val="20"/>
          <w:lang w:eastAsia="en-US"/>
        </w:rPr>
      </w:pPr>
    </w:p>
    <w:tbl>
      <w:tblPr>
        <w:tblW w:w="0" w:type="auto"/>
        <w:tblLayout w:type="fixed"/>
        <w:tblLook w:val="00A0" w:firstRow="1" w:lastRow="0" w:firstColumn="1" w:lastColumn="0" w:noHBand="0" w:noVBand="0"/>
      </w:tblPr>
      <w:tblGrid>
        <w:gridCol w:w="2835"/>
        <w:gridCol w:w="5812"/>
      </w:tblGrid>
      <w:tr w:rsidR="00F965F4" w14:paraId="6D9447FE" w14:textId="77777777" w:rsidTr="00F965F4">
        <w:tc>
          <w:tcPr>
            <w:tcW w:w="2835" w:type="dxa"/>
            <w:hideMark/>
          </w:tcPr>
          <w:p w14:paraId="13466576" w14:textId="77777777" w:rsidR="00F965F4" w:rsidRDefault="00F965F4">
            <w:pPr>
              <w:rPr>
                <w:szCs w:val="22"/>
              </w:rPr>
            </w:pPr>
            <w:r>
              <w:rPr>
                <w:szCs w:val="22"/>
              </w:rPr>
              <w:t>Application No:</w:t>
            </w:r>
          </w:p>
        </w:tc>
        <w:tc>
          <w:tcPr>
            <w:tcW w:w="5812" w:type="dxa"/>
            <w:hideMark/>
          </w:tcPr>
          <w:p w14:paraId="0EAF13B9" w14:textId="77777777" w:rsidR="00F965F4" w:rsidRDefault="00F965F4">
            <w:pPr>
              <w:rPr>
                <w:szCs w:val="22"/>
              </w:rPr>
            </w:pPr>
            <w:r>
              <w:rPr>
                <w:szCs w:val="22"/>
              </w:rPr>
              <w:t>OPW21/0110</w:t>
            </w:r>
            <w:bookmarkStart w:id="22" w:name="DOCID1"/>
            <w:bookmarkEnd w:id="22"/>
            <w:r>
              <w:rPr>
                <w:szCs w:val="22"/>
              </w:rPr>
              <w:t xml:space="preserve"> </w:t>
            </w:r>
            <w:bookmarkStart w:id="23" w:name="DocCid5"/>
            <w:bookmarkEnd w:id="23"/>
          </w:p>
        </w:tc>
      </w:tr>
      <w:tr w:rsidR="00F965F4" w14:paraId="06357635" w14:textId="77777777" w:rsidTr="00F965F4">
        <w:tc>
          <w:tcPr>
            <w:tcW w:w="2835" w:type="dxa"/>
            <w:hideMark/>
          </w:tcPr>
          <w:p w14:paraId="6C9AC66B" w14:textId="77777777" w:rsidR="00F965F4" w:rsidRDefault="00F965F4">
            <w:pPr>
              <w:spacing w:before="120"/>
              <w:rPr>
                <w:rFonts w:cs="Arial"/>
                <w:szCs w:val="22"/>
              </w:rPr>
            </w:pPr>
            <w:r>
              <w:rPr>
                <w:rFonts w:cs="Arial"/>
                <w:szCs w:val="22"/>
              </w:rPr>
              <w:t>Street Address:</w:t>
            </w:r>
          </w:p>
        </w:tc>
        <w:tc>
          <w:tcPr>
            <w:tcW w:w="5812" w:type="dxa"/>
            <w:hideMark/>
          </w:tcPr>
          <w:p w14:paraId="08BAED7C" w14:textId="77777777" w:rsidR="00F965F4" w:rsidRDefault="00F965F4">
            <w:pPr>
              <w:spacing w:before="120"/>
              <w:rPr>
                <w:rFonts w:cs="Arial"/>
                <w:szCs w:val="22"/>
              </w:rPr>
            </w:pPr>
            <w:r>
              <w:rPr>
                <w:rFonts w:cs="Arial"/>
                <w:szCs w:val="22"/>
              </w:rPr>
              <w:t>2 &amp; 6 Talinga St BUDDINA , 84 &amp; 85 Pacific Bvd BUDDINA  &amp; 61 &amp; 63 Iluka Ave BUDDINA  QLD  4575</w:t>
            </w:r>
            <w:bookmarkStart w:id="24" w:name="PROTHADDSL4"/>
            <w:bookmarkEnd w:id="24"/>
          </w:p>
        </w:tc>
      </w:tr>
      <w:tr w:rsidR="00F965F4" w14:paraId="61214B2E" w14:textId="77777777" w:rsidTr="00F965F4">
        <w:tc>
          <w:tcPr>
            <w:tcW w:w="2835" w:type="dxa"/>
            <w:hideMark/>
          </w:tcPr>
          <w:p w14:paraId="4C047FA8" w14:textId="77777777" w:rsidR="00F965F4" w:rsidRDefault="00F965F4">
            <w:pPr>
              <w:spacing w:before="120"/>
              <w:rPr>
                <w:szCs w:val="22"/>
              </w:rPr>
            </w:pPr>
            <w:r>
              <w:rPr>
                <w:rFonts w:cs="Arial"/>
                <w:szCs w:val="22"/>
              </w:rPr>
              <w:t>Real Property Description:</w:t>
            </w:r>
          </w:p>
        </w:tc>
        <w:tc>
          <w:tcPr>
            <w:tcW w:w="5812" w:type="dxa"/>
            <w:hideMark/>
          </w:tcPr>
          <w:p w14:paraId="63A236E8" w14:textId="77777777" w:rsidR="00F965F4" w:rsidRDefault="00F965F4">
            <w:pPr>
              <w:spacing w:before="120"/>
              <w:rPr>
                <w:szCs w:val="22"/>
              </w:rPr>
            </w:pPr>
            <w:r>
              <w:rPr>
                <w:szCs w:val="22"/>
              </w:rPr>
              <w:t>Lot 1 RP 201319 &amp; Lot 280, 281, 282, 310, 311 B 92911</w:t>
            </w:r>
            <w:bookmarkStart w:id="25" w:name="LEGALDESC4"/>
            <w:bookmarkEnd w:id="25"/>
          </w:p>
        </w:tc>
      </w:tr>
      <w:tr w:rsidR="00F965F4" w14:paraId="4B4398F6" w14:textId="77777777" w:rsidTr="00F965F4">
        <w:tc>
          <w:tcPr>
            <w:tcW w:w="2835" w:type="dxa"/>
            <w:hideMark/>
          </w:tcPr>
          <w:p w14:paraId="554E08F0" w14:textId="77777777" w:rsidR="00F965F4" w:rsidRDefault="00F965F4">
            <w:pPr>
              <w:spacing w:before="120"/>
              <w:rPr>
                <w:szCs w:val="22"/>
              </w:rPr>
            </w:pPr>
            <w:r>
              <w:rPr>
                <w:rFonts w:cs="Arial"/>
                <w:szCs w:val="22"/>
              </w:rPr>
              <w:t>Planning Scheme:</w:t>
            </w:r>
          </w:p>
        </w:tc>
        <w:tc>
          <w:tcPr>
            <w:tcW w:w="5812" w:type="dxa"/>
            <w:hideMark/>
          </w:tcPr>
          <w:p w14:paraId="2DB9C83D" w14:textId="77777777" w:rsidR="00F965F4" w:rsidRDefault="00F965F4">
            <w:pPr>
              <w:spacing w:before="120"/>
              <w:rPr>
                <w:szCs w:val="22"/>
              </w:rPr>
            </w:pPr>
            <w:r>
              <w:rPr>
                <w:szCs w:val="22"/>
              </w:rPr>
              <w:t>Sunshine Coast Planning Scheme (24 August 2020)</w:t>
            </w:r>
            <w:bookmarkStart w:id="26" w:name="PLANNINGSCHEME3"/>
            <w:bookmarkEnd w:id="26"/>
          </w:p>
        </w:tc>
      </w:tr>
    </w:tbl>
    <w:p w14:paraId="7B4FF62C" w14:textId="77777777" w:rsidR="00F965F4" w:rsidRDefault="00F965F4" w:rsidP="00F965F4">
      <w:pPr>
        <w:rPr>
          <w:szCs w:val="20"/>
          <w:lang w:eastAsia="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A0" w:firstRow="1" w:lastRow="0" w:firstColumn="1" w:lastColumn="0" w:noHBand="0" w:noVBand="0"/>
      </w:tblPr>
      <w:tblGrid>
        <w:gridCol w:w="8641"/>
      </w:tblGrid>
      <w:tr w:rsidR="00F965F4" w14:paraId="3C50F665" w14:textId="77777777" w:rsidTr="00F965F4">
        <w:tc>
          <w:tcPr>
            <w:tcW w:w="9156" w:type="dxa"/>
            <w:tcBorders>
              <w:top w:val="single" w:sz="4" w:space="0" w:color="auto"/>
              <w:left w:val="single" w:sz="4" w:space="0" w:color="auto"/>
              <w:bottom w:val="single" w:sz="4" w:space="0" w:color="auto"/>
              <w:right w:val="single" w:sz="4" w:space="0" w:color="auto"/>
            </w:tcBorders>
            <w:shd w:val="clear" w:color="auto" w:fill="E6E6E6"/>
            <w:hideMark/>
          </w:tcPr>
          <w:p w14:paraId="45A3E9E6" w14:textId="77777777" w:rsidR="00F965F4" w:rsidRDefault="00F965F4">
            <w:pPr>
              <w:pStyle w:val="DAHeading"/>
              <w:numPr>
                <w:ilvl w:val="0"/>
                <w:numId w:val="0"/>
              </w:numPr>
              <w:tabs>
                <w:tab w:val="left" w:pos="720"/>
              </w:tabs>
            </w:pPr>
            <w:r>
              <w:t>APPROVAL DETAILS</w:t>
            </w:r>
          </w:p>
        </w:tc>
      </w:tr>
    </w:tbl>
    <w:p w14:paraId="0909525E" w14:textId="77777777" w:rsidR="00F965F4" w:rsidRDefault="00F965F4" w:rsidP="00F965F4">
      <w:pPr>
        <w:rPr>
          <w:szCs w:val="20"/>
          <w:lang w:eastAsia="en-US"/>
        </w:rPr>
      </w:pPr>
    </w:p>
    <w:tbl>
      <w:tblPr>
        <w:tblW w:w="5000" w:type="pct"/>
        <w:tblLook w:val="00A0" w:firstRow="1" w:lastRow="0" w:firstColumn="1" w:lastColumn="0" w:noHBand="0" w:noVBand="0"/>
      </w:tblPr>
      <w:tblGrid>
        <w:gridCol w:w="2834"/>
        <w:gridCol w:w="5817"/>
      </w:tblGrid>
      <w:tr w:rsidR="00F965F4" w14:paraId="68B01A27" w14:textId="77777777" w:rsidTr="00F965F4">
        <w:trPr>
          <w:trHeight w:val="407"/>
        </w:trPr>
        <w:tc>
          <w:tcPr>
            <w:tcW w:w="1638" w:type="pct"/>
            <w:vAlign w:val="center"/>
            <w:hideMark/>
          </w:tcPr>
          <w:p w14:paraId="45A9932D" w14:textId="77777777" w:rsidR="00F965F4" w:rsidRDefault="00F965F4">
            <w:pPr>
              <w:spacing w:before="120"/>
              <w:rPr>
                <w:rFonts w:cs="Arial"/>
                <w:szCs w:val="22"/>
              </w:rPr>
            </w:pPr>
            <w:r>
              <w:rPr>
                <w:rFonts w:cs="Arial"/>
                <w:szCs w:val="22"/>
              </w:rPr>
              <w:t>Nature of Approval:</w:t>
            </w:r>
          </w:p>
        </w:tc>
        <w:tc>
          <w:tcPr>
            <w:tcW w:w="3362" w:type="pct"/>
            <w:vAlign w:val="center"/>
            <w:hideMark/>
          </w:tcPr>
          <w:p w14:paraId="157FF393" w14:textId="77777777" w:rsidR="00F965F4" w:rsidRDefault="00F965F4">
            <w:pPr>
              <w:spacing w:before="120"/>
              <w:rPr>
                <w:rFonts w:cs="Arial"/>
                <w:szCs w:val="22"/>
              </w:rPr>
            </w:pPr>
            <w:r>
              <w:rPr>
                <w:rFonts w:cs="Arial"/>
                <w:szCs w:val="22"/>
              </w:rPr>
              <w:t>Approval with conditions</w:t>
            </w:r>
          </w:p>
        </w:tc>
      </w:tr>
      <w:tr w:rsidR="00F965F4" w14:paraId="281D8EB1" w14:textId="77777777" w:rsidTr="00F965F4">
        <w:trPr>
          <w:trHeight w:val="653"/>
        </w:trPr>
        <w:tc>
          <w:tcPr>
            <w:tcW w:w="1638" w:type="pct"/>
            <w:hideMark/>
          </w:tcPr>
          <w:p w14:paraId="46E83C82" w14:textId="77777777" w:rsidR="00F965F4" w:rsidRDefault="00F965F4">
            <w:pPr>
              <w:spacing w:before="120"/>
              <w:rPr>
                <w:rFonts w:cs="Arial"/>
                <w:szCs w:val="22"/>
              </w:rPr>
            </w:pPr>
            <w:r>
              <w:rPr>
                <w:rFonts w:cs="Arial"/>
                <w:szCs w:val="22"/>
              </w:rPr>
              <w:t>Type of Approval:</w:t>
            </w:r>
          </w:p>
        </w:tc>
        <w:tc>
          <w:tcPr>
            <w:tcW w:w="3362" w:type="pct"/>
            <w:hideMark/>
          </w:tcPr>
          <w:p w14:paraId="5666281C" w14:textId="77777777" w:rsidR="00F965F4" w:rsidRDefault="00F965F4">
            <w:pPr>
              <w:spacing w:before="120"/>
              <w:rPr>
                <w:rFonts w:cs="Arial"/>
                <w:szCs w:val="22"/>
              </w:rPr>
            </w:pPr>
            <w:r>
              <w:rPr>
                <w:rFonts w:cs="Arial"/>
                <w:szCs w:val="22"/>
              </w:rPr>
              <w:t>Development Permit for Operational Work (Drainage Works, Stormwater, Earthworks, Civil and Coastal Protection)</w:t>
            </w:r>
            <w:bookmarkStart w:id="27" w:name="PROPUSE6"/>
            <w:bookmarkEnd w:id="27"/>
          </w:p>
        </w:tc>
      </w:tr>
    </w:tbl>
    <w:p w14:paraId="10F7F1F2" w14:textId="77777777" w:rsidR="00F965F4" w:rsidRDefault="00F965F4" w:rsidP="00F965F4">
      <w:pPr>
        <w:rPr>
          <w:szCs w:val="20"/>
          <w:lang w:eastAsia="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A0" w:firstRow="1" w:lastRow="0" w:firstColumn="1" w:lastColumn="0" w:noHBand="0" w:noVBand="0"/>
      </w:tblPr>
      <w:tblGrid>
        <w:gridCol w:w="8641"/>
      </w:tblGrid>
      <w:tr w:rsidR="00F965F4" w14:paraId="72B23942" w14:textId="77777777" w:rsidTr="00F965F4">
        <w:tc>
          <w:tcPr>
            <w:tcW w:w="9156" w:type="dxa"/>
            <w:tcBorders>
              <w:top w:val="single" w:sz="4" w:space="0" w:color="auto"/>
              <w:left w:val="single" w:sz="4" w:space="0" w:color="auto"/>
              <w:bottom w:val="single" w:sz="4" w:space="0" w:color="auto"/>
              <w:right w:val="single" w:sz="4" w:space="0" w:color="auto"/>
            </w:tcBorders>
            <w:shd w:val="clear" w:color="auto" w:fill="E6E6E6"/>
            <w:hideMark/>
          </w:tcPr>
          <w:p w14:paraId="13099BFF" w14:textId="77777777" w:rsidR="00F965F4" w:rsidRDefault="00F965F4">
            <w:pPr>
              <w:pStyle w:val="DAHeading"/>
              <w:numPr>
                <w:ilvl w:val="0"/>
                <w:numId w:val="0"/>
              </w:numPr>
              <w:tabs>
                <w:tab w:val="left" w:pos="720"/>
              </w:tabs>
            </w:pPr>
            <w:r>
              <w:t>CURRENCY PERIOD OF APPROVAL</w:t>
            </w:r>
          </w:p>
        </w:tc>
      </w:tr>
    </w:tbl>
    <w:p w14:paraId="3A4B9EF3" w14:textId="77777777" w:rsidR="00F965F4" w:rsidRDefault="00F965F4" w:rsidP="00F965F4">
      <w:pPr>
        <w:rPr>
          <w:rFonts w:cs="Arial"/>
          <w:szCs w:val="22"/>
          <w:lang w:eastAsia="en-US"/>
        </w:rPr>
      </w:pPr>
    </w:p>
    <w:p w14:paraId="021DA16E" w14:textId="77777777" w:rsidR="00F965F4" w:rsidRDefault="00F965F4" w:rsidP="00F965F4">
      <w:pPr>
        <w:rPr>
          <w:szCs w:val="22"/>
        </w:rPr>
      </w:pPr>
      <w:r>
        <w:rPr>
          <w:rFonts w:cs="Arial"/>
          <w:szCs w:val="22"/>
        </w:rPr>
        <w:t>Unless lawfully extended, the currency period for this development approval is 2</w:t>
      </w:r>
      <w:r>
        <w:t xml:space="preserve"> </w:t>
      </w:r>
      <w:r>
        <w:rPr>
          <w:rFonts w:cs="Arial"/>
          <w:szCs w:val="22"/>
        </w:rPr>
        <w:t xml:space="preserve">years starting the day that this development approval first took effect </w:t>
      </w:r>
      <w:r>
        <w:rPr>
          <w:szCs w:val="22"/>
        </w:rPr>
        <w:t xml:space="preserve">(Refer to Section 85 “Lapsing of approval at end of currency period” of the </w:t>
      </w:r>
      <w:r>
        <w:rPr>
          <w:i/>
          <w:szCs w:val="22"/>
        </w:rPr>
        <w:t>Planning Act 2016</w:t>
      </w:r>
      <w:r>
        <w:rPr>
          <w:szCs w:val="22"/>
        </w:rPr>
        <w:t xml:space="preserve">).  </w:t>
      </w:r>
    </w:p>
    <w:p w14:paraId="45C6A192" w14:textId="77777777" w:rsidR="00F965F4" w:rsidRDefault="00F965F4" w:rsidP="00F965F4">
      <w:pPr>
        <w:rPr>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A0" w:firstRow="1" w:lastRow="0" w:firstColumn="1" w:lastColumn="0" w:noHBand="0" w:noVBand="0"/>
      </w:tblPr>
      <w:tblGrid>
        <w:gridCol w:w="8641"/>
      </w:tblGrid>
      <w:tr w:rsidR="00F965F4" w14:paraId="2DCEBDAB" w14:textId="77777777" w:rsidTr="00F965F4">
        <w:tc>
          <w:tcPr>
            <w:tcW w:w="8867" w:type="dxa"/>
            <w:tcBorders>
              <w:top w:val="single" w:sz="4" w:space="0" w:color="auto"/>
              <w:left w:val="single" w:sz="4" w:space="0" w:color="auto"/>
              <w:bottom w:val="single" w:sz="4" w:space="0" w:color="auto"/>
              <w:right w:val="single" w:sz="4" w:space="0" w:color="auto"/>
            </w:tcBorders>
            <w:shd w:val="clear" w:color="auto" w:fill="E6E6E6"/>
            <w:hideMark/>
          </w:tcPr>
          <w:p w14:paraId="7031491C" w14:textId="77777777" w:rsidR="00F965F4" w:rsidRDefault="00F965F4">
            <w:pPr>
              <w:pStyle w:val="DAHeading"/>
              <w:numPr>
                <w:ilvl w:val="0"/>
                <w:numId w:val="0"/>
              </w:numPr>
              <w:tabs>
                <w:tab w:val="left" w:pos="720"/>
              </w:tabs>
            </w:pPr>
            <w:r>
              <w:t>INFRASTRUCTURE</w:t>
            </w:r>
          </w:p>
        </w:tc>
      </w:tr>
    </w:tbl>
    <w:p w14:paraId="6F4F24C1" w14:textId="77777777" w:rsidR="00F965F4" w:rsidRDefault="00F965F4" w:rsidP="00F965F4">
      <w:pPr>
        <w:rPr>
          <w:szCs w:val="20"/>
          <w:lang w:eastAsia="en-US"/>
        </w:rPr>
      </w:pPr>
    </w:p>
    <w:p w14:paraId="4A4205EF" w14:textId="77777777" w:rsidR="00F965F4" w:rsidRDefault="00F965F4" w:rsidP="00F965F4">
      <w:r>
        <w:t xml:space="preserve">Unless otherwise specified, all assessment manager conditions of this development approval relating to the provision of infrastructure are non-trunk infrastructure conditions for Chapter 4 of the </w:t>
      </w:r>
      <w:r>
        <w:rPr>
          <w:i/>
        </w:rPr>
        <w:t>Planning Act 2016</w:t>
      </w:r>
      <w:r>
        <w:t xml:space="preserve">.  </w:t>
      </w:r>
    </w:p>
    <w:p w14:paraId="61EA8B8C" w14:textId="77777777" w:rsidR="00F965F4" w:rsidRDefault="00F965F4" w:rsidP="00F965F4"/>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A0" w:firstRow="1" w:lastRow="0" w:firstColumn="1" w:lastColumn="0" w:noHBand="0" w:noVBand="0"/>
      </w:tblPr>
      <w:tblGrid>
        <w:gridCol w:w="8641"/>
      </w:tblGrid>
      <w:tr w:rsidR="00F965F4" w14:paraId="3C61D82C" w14:textId="77777777" w:rsidTr="00F965F4">
        <w:tc>
          <w:tcPr>
            <w:tcW w:w="8642" w:type="dxa"/>
            <w:tcBorders>
              <w:top w:val="single" w:sz="4" w:space="0" w:color="auto"/>
              <w:left w:val="single" w:sz="4" w:space="0" w:color="auto"/>
              <w:bottom w:val="single" w:sz="4" w:space="0" w:color="auto"/>
              <w:right w:val="single" w:sz="4" w:space="0" w:color="auto"/>
            </w:tcBorders>
            <w:shd w:val="clear" w:color="auto" w:fill="E6E6E6"/>
            <w:hideMark/>
          </w:tcPr>
          <w:p w14:paraId="7DF85F02" w14:textId="77777777" w:rsidR="00F965F4" w:rsidRDefault="00F965F4">
            <w:pPr>
              <w:pStyle w:val="DAHeading"/>
              <w:numPr>
                <w:ilvl w:val="0"/>
                <w:numId w:val="0"/>
              </w:numPr>
              <w:tabs>
                <w:tab w:val="left" w:pos="720"/>
              </w:tabs>
            </w:pPr>
            <w:r>
              <w:t>ASSESSMENT MANAGER CONDITIONS</w:t>
            </w:r>
          </w:p>
        </w:tc>
      </w:tr>
    </w:tbl>
    <w:p w14:paraId="10AEE0FC" w14:textId="77777777" w:rsidR="00F965F4" w:rsidRDefault="00F965F4" w:rsidP="00AC09CE">
      <w:pPr>
        <w:pStyle w:val="11"/>
        <w:numPr>
          <w:ilvl w:val="0"/>
          <w:numId w:val="0"/>
        </w:numPr>
      </w:pPr>
      <w:bookmarkStart w:id="28" w:name="_Toc359318838"/>
      <w:bookmarkStart w:id="29" w:name="_Toc359321598"/>
      <w:bookmarkStart w:id="30" w:name="_Toc359321657"/>
      <w:bookmarkStart w:id="31" w:name="_Toc359321700"/>
      <w:bookmarkStart w:id="32" w:name="_Toc359321809"/>
      <w:bookmarkStart w:id="33" w:name="_Toc359321917"/>
      <w:bookmarkStart w:id="34" w:name="_Toc359322133"/>
      <w:bookmarkStart w:id="35" w:name="_Toc360187680"/>
      <w:bookmarkStart w:id="36" w:name="_Toc361920657"/>
      <w:bookmarkStart w:id="37" w:name="_Toc361920682"/>
      <w:bookmarkStart w:id="38" w:name="_Toc361920793"/>
      <w:bookmarkStart w:id="39" w:name="_Toc387754667"/>
    </w:p>
    <w:p w14:paraId="1FF9E496" w14:textId="77777777" w:rsidR="00F965F4" w:rsidRDefault="00F965F4" w:rsidP="00F965F4">
      <w:pPr>
        <w:outlineLvl w:val="0"/>
        <w:rPr>
          <w:rFonts w:cs="Arial"/>
          <w:b/>
          <w:bCs/>
        </w:rPr>
      </w:pPr>
      <w:r>
        <w:rPr>
          <w:rFonts w:cs="Arial"/>
          <w:b/>
          <w:bCs/>
        </w:rPr>
        <w:t>PRIOR TO COMMENCEMENT OF WORKS</w:t>
      </w:r>
      <w:bookmarkEnd w:id="28"/>
      <w:bookmarkEnd w:id="29"/>
      <w:bookmarkEnd w:id="30"/>
      <w:bookmarkEnd w:id="31"/>
      <w:bookmarkEnd w:id="32"/>
      <w:bookmarkEnd w:id="33"/>
      <w:bookmarkEnd w:id="34"/>
      <w:bookmarkEnd w:id="35"/>
      <w:bookmarkEnd w:id="36"/>
      <w:bookmarkEnd w:id="37"/>
      <w:bookmarkEnd w:id="38"/>
      <w:bookmarkEnd w:id="39"/>
    </w:p>
    <w:p w14:paraId="50C31B71" w14:textId="77777777" w:rsidR="00F965F4" w:rsidRDefault="00F965F4" w:rsidP="00F965F4">
      <w:pPr>
        <w:rPr>
          <w:rFonts w:cs="Arial"/>
          <w:szCs w:val="22"/>
        </w:rPr>
      </w:pPr>
    </w:p>
    <w:p w14:paraId="6800ACCB" w14:textId="77777777" w:rsidR="00F965F4" w:rsidRDefault="00F965F4" w:rsidP="00F965F4">
      <w:pPr>
        <w:pStyle w:val="heading6"/>
        <w:jc w:val="both"/>
      </w:pPr>
      <w:r>
        <w:t>General</w:t>
      </w:r>
    </w:p>
    <w:p w14:paraId="7CF1D36A" w14:textId="77777777" w:rsidR="00F965F4" w:rsidRDefault="00F965F4" w:rsidP="00F965F4">
      <w:pPr>
        <w:rPr>
          <w:rFonts w:cs="Arial"/>
          <w:szCs w:val="22"/>
        </w:rPr>
      </w:pPr>
    </w:p>
    <w:p w14:paraId="2CB0AD51" w14:textId="471EB339" w:rsidR="00F965F4" w:rsidRPr="00AC09CE" w:rsidRDefault="00F965F4" w:rsidP="00074298">
      <w:pPr>
        <w:pStyle w:val="11"/>
        <w:numPr>
          <w:ilvl w:val="0"/>
          <w:numId w:val="29"/>
        </w:numPr>
        <w:ind w:left="567" w:hanging="567"/>
      </w:pPr>
      <w:r w:rsidRPr="00AC09CE">
        <w:t>Prior to requesting a pre-start meeting/commencement of works:</w:t>
      </w:r>
    </w:p>
    <w:p w14:paraId="4DF1BBA0" w14:textId="77777777" w:rsidR="00F965F4" w:rsidRPr="00CD115A" w:rsidRDefault="00F965F4" w:rsidP="00CD115A">
      <w:pPr>
        <w:pStyle w:val="Numbering"/>
      </w:pPr>
      <w:r w:rsidRPr="00CD115A">
        <w:t xml:space="preserve">A condition report of the drainage system must be completed for agreement at the pre-start meeting.  The condition report is to include a CCTV inspection of the existing pipe and must include at least 50m upstream and downstream of all works.  </w:t>
      </w:r>
    </w:p>
    <w:p w14:paraId="4DB7C3CA" w14:textId="77777777" w:rsidR="00F965F4" w:rsidRDefault="00F965F4" w:rsidP="00F965F4">
      <w:pPr>
        <w:rPr>
          <w:rFonts w:cs="Arial"/>
          <w:szCs w:val="22"/>
        </w:rPr>
      </w:pPr>
    </w:p>
    <w:p w14:paraId="1DDEEDFB" w14:textId="77777777" w:rsidR="00F965F4" w:rsidRDefault="00F965F4" w:rsidP="00074298">
      <w:pPr>
        <w:pStyle w:val="11"/>
        <w:numPr>
          <w:ilvl w:val="0"/>
          <w:numId w:val="29"/>
        </w:numPr>
        <w:ind w:left="567" w:hanging="567"/>
      </w:pPr>
      <w:r>
        <w:t xml:space="preserve">A pre-start meeting must be organised with Council prior to the commencement of any on site works.  An Operational Works Pre-Start Request Form must be submitted to Council together with payment of the relevant application fee.  The applicant must organise for the certifying Registered Professional Engineer, Queensland (RPEQ) and all other certifying entities, as well as the principal contractor/s for the operational works must be in attendance at this pre-start meeting.  </w:t>
      </w:r>
    </w:p>
    <w:p w14:paraId="0C5C889C" w14:textId="77777777" w:rsidR="00F965F4" w:rsidRDefault="00F965F4" w:rsidP="00F965F4">
      <w:pPr>
        <w:rPr>
          <w:rFonts w:cs="Arial"/>
          <w:szCs w:val="22"/>
        </w:rPr>
      </w:pPr>
    </w:p>
    <w:p w14:paraId="54F174A7" w14:textId="77777777" w:rsidR="00F965F4" w:rsidRDefault="00F965F4" w:rsidP="00074298">
      <w:pPr>
        <w:pStyle w:val="11"/>
        <w:numPr>
          <w:ilvl w:val="0"/>
          <w:numId w:val="29"/>
        </w:numPr>
        <w:ind w:left="567" w:hanging="567"/>
      </w:pPr>
      <w:r>
        <w:lastRenderedPageBreak/>
        <w:t xml:space="preserve">A condition report including photographs of the frontage of the site must be completed and submitted to Council at the pre-start meeting and prior to any works commencing.  </w:t>
      </w:r>
    </w:p>
    <w:p w14:paraId="4E151C69" w14:textId="77777777" w:rsidR="00F965F4" w:rsidRDefault="00F965F4" w:rsidP="00F965F4">
      <w:pPr>
        <w:rPr>
          <w:rFonts w:cs="Arial"/>
          <w:szCs w:val="22"/>
          <w:u w:val="single"/>
        </w:rPr>
      </w:pPr>
    </w:p>
    <w:p w14:paraId="1AEFB7A5" w14:textId="77777777" w:rsidR="00F965F4" w:rsidRDefault="00F965F4" w:rsidP="00074298">
      <w:pPr>
        <w:pStyle w:val="11"/>
        <w:numPr>
          <w:ilvl w:val="0"/>
          <w:numId w:val="29"/>
        </w:numPr>
        <w:ind w:left="567" w:hanging="567"/>
        <w:rPr>
          <w:color w:val="000000"/>
        </w:rPr>
      </w:pPr>
      <w:r>
        <w:t xml:space="preserve">A Construction Management Plan must </w:t>
      </w:r>
      <w:r>
        <w:rPr>
          <w:color w:val="000000"/>
        </w:rPr>
        <w:t>be submitted to Council prior to the pre-start meeting and prior to commencement of works and must specifically address the following:</w:t>
      </w:r>
    </w:p>
    <w:p w14:paraId="79650410" w14:textId="77777777" w:rsidR="00F965F4" w:rsidRDefault="00F965F4" w:rsidP="00074298">
      <w:pPr>
        <w:pStyle w:val="L1"/>
        <w:numPr>
          <w:ilvl w:val="0"/>
          <w:numId w:val="30"/>
        </w:numPr>
        <w:ind w:left="1134" w:hanging="567"/>
      </w:pPr>
      <w:r>
        <w:t>Traffic management during all aspects of the construct phase including:</w:t>
      </w:r>
    </w:p>
    <w:p w14:paraId="3359D2D3" w14:textId="77777777" w:rsidR="00F965F4" w:rsidRDefault="00F965F4" w:rsidP="00F965F4">
      <w:pPr>
        <w:pStyle w:val="SL1"/>
        <w:jc w:val="both"/>
      </w:pPr>
      <w:r>
        <w:t xml:space="preserve">A Traffic Management Control Plan in accordance with the </w:t>
      </w:r>
      <w:r>
        <w:rPr>
          <w:i/>
        </w:rPr>
        <w:t>Manual of Uniform Traffic Control Devices</w:t>
      </w:r>
      <w:r>
        <w:t xml:space="preserve"> (MUTCD) detailing all temporary signage and traffic control measures prior to construction.  </w:t>
      </w:r>
    </w:p>
    <w:p w14:paraId="17F9A99E" w14:textId="77777777" w:rsidR="00F965F4" w:rsidRDefault="00F965F4" w:rsidP="00074298">
      <w:pPr>
        <w:numPr>
          <w:ilvl w:val="2"/>
          <w:numId w:val="24"/>
        </w:numPr>
        <w:rPr>
          <w:rFonts w:cs="Arial"/>
          <w:szCs w:val="22"/>
        </w:rPr>
      </w:pPr>
      <w:r>
        <w:rPr>
          <w:rFonts w:cs="Arial"/>
          <w:szCs w:val="22"/>
        </w:rPr>
        <w:t xml:space="preserve">Maintenance of safe pedestrian access across the frontage of the site both during daily construction and after daily construction has ceased.  </w:t>
      </w:r>
    </w:p>
    <w:p w14:paraId="5FECD861" w14:textId="77777777" w:rsidR="00F965F4" w:rsidRDefault="00F965F4" w:rsidP="00074298">
      <w:pPr>
        <w:numPr>
          <w:ilvl w:val="2"/>
          <w:numId w:val="24"/>
        </w:numPr>
        <w:rPr>
          <w:rFonts w:cs="Arial"/>
          <w:szCs w:val="22"/>
        </w:rPr>
      </w:pPr>
      <w:r>
        <w:rPr>
          <w:rFonts w:cs="Arial"/>
          <w:szCs w:val="22"/>
        </w:rPr>
        <w:t xml:space="preserve">Proposed fencing to the site during the construction phase of the development.  </w:t>
      </w:r>
    </w:p>
    <w:p w14:paraId="1C35F41B" w14:textId="77777777" w:rsidR="00F965F4" w:rsidRDefault="00F965F4" w:rsidP="00074298">
      <w:pPr>
        <w:numPr>
          <w:ilvl w:val="2"/>
          <w:numId w:val="24"/>
        </w:numPr>
        <w:rPr>
          <w:rFonts w:cs="Arial"/>
          <w:szCs w:val="22"/>
        </w:rPr>
      </w:pPr>
      <w:r>
        <w:rPr>
          <w:rFonts w:cs="Arial"/>
          <w:szCs w:val="22"/>
        </w:rPr>
        <w:t xml:space="preserve">Adequate parking arrangements for construction workers.  </w:t>
      </w:r>
    </w:p>
    <w:p w14:paraId="5CE274BE" w14:textId="77777777" w:rsidR="00F965F4" w:rsidRDefault="00F965F4" w:rsidP="00074298">
      <w:pPr>
        <w:numPr>
          <w:ilvl w:val="1"/>
          <w:numId w:val="24"/>
        </w:numPr>
        <w:rPr>
          <w:rFonts w:cs="Arial"/>
          <w:szCs w:val="22"/>
        </w:rPr>
      </w:pPr>
      <w:r>
        <w:rPr>
          <w:rFonts w:cs="Arial"/>
          <w:szCs w:val="22"/>
        </w:rPr>
        <w:t xml:space="preserve">Works programme identifying key components of the works and their respective durations.  </w:t>
      </w:r>
    </w:p>
    <w:p w14:paraId="76A57B0E" w14:textId="77777777" w:rsidR="00F965F4" w:rsidRDefault="00F965F4" w:rsidP="00074298">
      <w:pPr>
        <w:numPr>
          <w:ilvl w:val="1"/>
          <w:numId w:val="24"/>
        </w:numPr>
        <w:rPr>
          <w:rFonts w:cs="Arial"/>
          <w:szCs w:val="22"/>
        </w:rPr>
      </w:pPr>
      <w:r>
        <w:rPr>
          <w:rFonts w:cs="Arial"/>
          <w:szCs w:val="22"/>
          <w:lang w:val="en-US"/>
        </w:rPr>
        <w:t xml:space="preserve">Establishment of </w:t>
      </w:r>
      <w:r>
        <w:rPr>
          <w:rFonts w:cs="Arial"/>
          <w:szCs w:val="22"/>
        </w:rPr>
        <w:t>a communication</w:t>
      </w:r>
      <w:r>
        <w:rPr>
          <w:rFonts w:cs="Arial"/>
          <w:szCs w:val="22"/>
          <w:lang w:val="en-US"/>
        </w:rPr>
        <w:t xml:space="preserve"> </w:t>
      </w:r>
      <w:r>
        <w:rPr>
          <w:rFonts w:cs="Arial"/>
          <w:szCs w:val="22"/>
        </w:rPr>
        <w:t>protocol</w:t>
      </w:r>
      <w:r>
        <w:rPr>
          <w:rFonts w:cs="Arial"/>
          <w:szCs w:val="22"/>
          <w:lang w:val="en-US"/>
        </w:rPr>
        <w:t xml:space="preserve"> with the general public, adjoining owners, emergency services and local businesses to advise of agreed construction times, impacts on traffic and services and other relevant issues.  </w:t>
      </w:r>
    </w:p>
    <w:p w14:paraId="456EC6B7" w14:textId="77777777" w:rsidR="00F965F4" w:rsidRDefault="00F965F4" w:rsidP="00074298">
      <w:pPr>
        <w:numPr>
          <w:ilvl w:val="1"/>
          <w:numId w:val="24"/>
        </w:numPr>
        <w:rPr>
          <w:rFonts w:cs="Arial"/>
          <w:szCs w:val="22"/>
          <w:lang w:val="en-US"/>
        </w:rPr>
      </w:pPr>
      <w:r>
        <w:rPr>
          <w:rFonts w:cs="Arial"/>
          <w:szCs w:val="22"/>
          <w:lang w:val="en-US"/>
        </w:rPr>
        <w:t xml:space="preserve">Identification of complaint management procedures including: </w:t>
      </w:r>
    </w:p>
    <w:p w14:paraId="45CA336C" w14:textId="77777777" w:rsidR="00F965F4" w:rsidRDefault="00F965F4" w:rsidP="00074298">
      <w:pPr>
        <w:numPr>
          <w:ilvl w:val="2"/>
          <w:numId w:val="24"/>
        </w:numPr>
        <w:rPr>
          <w:rFonts w:cs="Arial"/>
          <w:szCs w:val="22"/>
        </w:rPr>
      </w:pPr>
      <w:r>
        <w:rPr>
          <w:rFonts w:cs="Arial"/>
          <w:szCs w:val="22"/>
          <w:lang w:val="en-US"/>
        </w:rPr>
        <w:t xml:space="preserve">Contact details for the onsite manager.  </w:t>
      </w:r>
    </w:p>
    <w:p w14:paraId="79238102" w14:textId="77777777" w:rsidR="00F965F4" w:rsidRDefault="00F965F4" w:rsidP="00074298">
      <w:pPr>
        <w:numPr>
          <w:ilvl w:val="2"/>
          <w:numId w:val="24"/>
        </w:numPr>
        <w:rPr>
          <w:rFonts w:cs="Arial"/>
          <w:szCs w:val="22"/>
        </w:rPr>
      </w:pPr>
      <w:r>
        <w:rPr>
          <w:rFonts w:cs="Arial"/>
          <w:szCs w:val="22"/>
          <w:lang w:val="en-US"/>
        </w:rPr>
        <w:t xml:space="preserve">Dispute resolution procedures.  </w:t>
      </w:r>
    </w:p>
    <w:p w14:paraId="62193491" w14:textId="77777777" w:rsidR="00F965F4" w:rsidRDefault="00F965F4" w:rsidP="00074298">
      <w:pPr>
        <w:numPr>
          <w:ilvl w:val="1"/>
          <w:numId w:val="24"/>
        </w:numPr>
        <w:rPr>
          <w:rFonts w:cs="Arial"/>
          <w:szCs w:val="22"/>
        </w:rPr>
      </w:pPr>
      <w:r>
        <w:rPr>
          <w:rFonts w:cs="Arial"/>
          <w:szCs w:val="22"/>
        </w:rPr>
        <w:t xml:space="preserve">Details on the location of external fill sites/sources, the haulage route, type of vehicle to be utilised during filling operations and frequency of usage.  </w:t>
      </w:r>
      <w:r>
        <w:rPr>
          <w:rFonts w:cs="Arial"/>
          <w:szCs w:val="22"/>
          <w:u w:val="single"/>
        </w:rPr>
        <w:t>NOTE:</w:t>
      </w:r>
      <w:r>
        <w:rPr>
          <w:rFonts w:cs="Arial"/>
          <w:szCs w:val="22"/>
        </w:rPr>
        <w:t xml:space="preserve"> any damage to the existing road system as a result of haulage operations must be fully repaired at the applicant’s expense.  </w:t>
      </w:r>
    </w:p>
    <w:p w14:paraId="7C028ED7" w14:textId="77777777" w:rsidR="00F965F4" w:rsidRDefault="00F965F4" w:rsidP="00F965F4">
      <w:pPr>
        <w:rPr>
          <w:rFonts w:cs="Arial"/>
          <w:szCs w:val="22"/>
          <w:lang w:val="en-US"/>
        </w:rPr>
      </w:pPr>
    </w:p>
    <w:p w14:paraId="092ECB17" w14:textId="77777777" w:rsidR="00F965F4" w:rsidRDefault="00F965F4" w:rsidP="00074298">
      <w:pPr>
        <w:pStyle w:val="11"/>
        <w:numPr>
          <w:ilvl w:val="0"/>
          <w:numId w:val="29"/>
        </w:numPr>
        <w:ind w:left="567" w:hanging="567"/>
      </w:pPr>
      <w:r>
        <w:t xml:space="preserve">Any changes to the details associated with the certifying RPEQ or Principal Contractor during construction, must be notified to Council in writing within five business days of the change occurring.  </w:t>
      </w:r>
    </w:p>
    <w:p w14:paraId="6331E3EE" w14:textId="77777777" w:rsidR="00F965F4" w:rsidRDefault="00F965F4" w:rsidP="00F965F4">
      <w:pPr>
        <w:rPr>
          <w:rFonts w:cs="Arial"/>
          <w:szCs w:val="22"/>
          <w:lang w:val="en-US"/>
        </w:rPr>
      </w:pPr>
    </w:p>
    <w:p w14:paraId="0C02129B" w14:textId="77777777" w:rsidR="00F965F4" w:rsidRDefault="00F965F4" w:rsidP="00074298">
      <w:pPr>
        <w:pStyle w:val="11"/>
        <w:numPr>
          <w:ilvl w:val="0"/>
          <w:numId w:val="29"/>
        </w:numPr>
        <w:ind w:left="567" w:hanging="567"/>
      </w:pPr>
      <w:r>
        <w:t xml:space="preserve">Any conflict between the development and an existing or proposed service must be referred to the relevant service authority for determination prior to commencement of works.  </w:t>
      </w:r>
    </w:p>
    <w:p w14:paraId="4690826D" w14:textId="77777777" w:rsidR="00F965F4" w:rsidRDefault="00F965F4" w:rsidP="00F965F4">
      <w:pPr>
        <w:rPr>
          <w:rFonts w:cs="Arial"/>
          <w:szCs w:val="22"/>
        </w:rPr>
      </w:pPr>
    </w:p>
    <w:p w14:paraId="30E85954" w14:textId="77777777" w:rsidR="00F965F4" w:rsidRDefault="00F965F4" w:rsidP="00074298">
      <w:pPr>
        <w:pStyle w:val="11"/>
        <w:numPr>
          <w:ilvl w:val="0"/>
          <w:numId w:val="29"/>
        </w:numPr>
        <w:ind w:left="567" w:hanging="567"/>
      </w:pPr>
      <w:r>
        <w:t>This approval must be coordinated with all other Operational Works approvals relating to this development including the:</w:t>
      </w:r>
    </w:p>
    <w:p w14:paraId="5CB7BB2A" w14:textId="77777777" w:rsidR="00F965F4" w:rsidRDefault="00F965F4" w:rsidP="00E26524">
      <w:pPr>
        <w:numPr>
          <w:ilvl w:val="1"/>
          <w:numId w:val="28"/>
        </w:numPr>
        <w:ind w:left="1134"/>
        <w:rPr>
          <w:rFonts w:cs="Arial"/>
          <w:szCs w:val="22"/>
        </w:rPr>
      </w:pPr>
      <w:r>
        <w:rPr>
          <w:rFonts w:cs="Arial"/>
          <w:szCs w:val="22"/>
        </w:rPr>
        <w:t>Operational Works Permit (Landscaping</w:t>
      </w:r>
      <w:r>
        <w:rPr>
          <w:rFonts w:cs="Arial"/>
          <w:color w:val="000000" w:themeColor="text1"/>
          <w:szCs w:val="22"/>
        </w:rPr>
        <w:t xml:space="preserve">)  </w:t>
      </w:r>
    </w:p>
    <w:p w14:paraId="0F941752" w14:textId="77777777" w:rsidR="00F965F4" w:rsidRDefault="00F965F4" w:rsidP="00E26524">
      <w:pPr>
        <w:numPr>
          <w:ilvl w:val="1"/>
          <w:numId w:val="28"/>
        </w:numPr>
        <w:ind w:left="1134"/>
        <w:rPr>
          <w:rFonts w:cs="Arial"/>
          <w:szCs w:val="22"/>
        </w:rPr>
      </w:pPr>
      <w:r>
        <w:rPr>
          <w:rFonts w:cs="Arial"/>
          <w:szCs w:val="22"/>
        </w:rPr>
        <w:t>Operational Works Permit (Ecology – Sand Dune Rehabilitation for Turtles</w:t>
      </w:r>
      <w:r>
        <w:rPr>
          <w:rFonts w:cs="Arial"/>
          <w:color w:val="000000" w:themeColor="text1"/>
          <w:szCs w:val="22"/>
        </w:rPr>
        <w:t xml:space="preserve">)  </w:t>
      </w:r>
    </w:p>
    <w:p w14:paraId="3F4F6F31" w14:textId="77777777" w:rsidR="00F965F4" w:rsidRDefault="00F965F4" w:rsidP="00E26524">
      <w:pPr>
        <w:numPr>
          <w:ilvl w:val="1"/>
          <w:numId w:val="28"/>
        </w:numPr>
        <w:ind w:left="1134"/>
        <w:rPr>
          <w:rFonts w:cs="Arial"/>
          <w:szCs w:val="22"/>
        </w:rPr>
      </w:pPr>
      <w:r>
        <w:rPr>
          <w:rFonts w:cs="Arial"/>
          <w:szCs w:val="22"/>
        </w:rPr>
        <w:t>Operational Works Permit (Electrical Reticulation – Underground power Iluka &amp; Pac Blvd</w:t>
      </w:r>
      <w:r>
        <w:rPr>
          <w:rFonts w:cs="Arial"/>
          <w:color w:val="000000" w:themeColor="text1"/>
          <w:szCs w:val="22"/>
        </w:rPr>
        <w:t xml:space="preserve">)  </w:t>
      </w:r>
    </w:p>
    <w:p w14:paraId="1E1C2372" w14:textId="6A28C14A" w:rsidR="00F965F4" w:rsidRDefault="00F965F4">
      <w:pPr>
        <w:jc w:val="left"/>
        <w:rPr>
          <w:rFonts w:cs="Arial"/>
          <w:b/>
          <w:bCs/>
          <w:szCs w:val="22"/>
        </w:rPr>
      </w:pPr>
      <w:bookmarkStart w:id="40" w:name="_Toc387754668"/>
      <w:bookmarkStart w:id="41" w:name="_Toc359318839"/>
      <w:bookmarkStart w:id="42" w:name="_Toc359321599"/>
      <w:bookmarkStart w:id="43" w:name="_Toc359321658"/>
      <w:bookmarkStart w:id="44" w:name="_Toc359321701"/>
      <w:bookmarkStart w:id="45" w:name="_Toc359321810"/>
      <w:bookmarkStart w:id="46" w:name="_Toc359321918"/>
      <w:bookmarkStart w:id="47" w:name="_Toc359322134"/>
      <w:bookmarkStart w:id="48" w:name="_Toc360187681"/>
      <w:bookmarkStart w:id="49" w:name="_Toc361920658"/>
      <w:bookmarkStart w:id="50" w:name="_Toc361920683"/>
      <w:bookmarkStart w:id="51" w:name="_Toc361920794"/>
    </w:p>
    <w:p w14:paraId="1E31A0CF" w14:textId="4C596FA0" w:rsidR="00F965F4" w:rsidRDefault="00F965F4" w:rsidP="00F965F4">
      <w:pPr>
        <w:pStyle w:val="heading6"/>
        <w:jc w:val="both"/>
      </w:pPr>
      <w:r>
        <w:t>Erosion and Sediment Control</w:t>
      </w:r>
      <w:bookmarkEnd w:id="40"/>
    </w:p>
    <w:p w14:paraId="70F2F2F9" w14:textId="77777777" w:rsidR="00F965F4" w:rsidRDefault="00F965F4" w:rsidP="00F965F4">
      <w:pPr>
        <w:rPr>
          <w:rFonts w:cs="Arial"/>
          <w:szCs w:val="22"/>
        </w:rPr>
      </w:pPr>
    </w:p>
    <w:p w14:paraId="33602921" w14:textId="6DBB325A" w:rsidR="00F965F4" w:rsidRPr="00626CEA" w:rsidRDefault="00F965F4" w:rsidP="00074298">
      <w:pPr>
        <w:pStyle w:val="11"/>
        <w:numPr>
          <w:ilvl w:val="0"/>
          <w:numId w:val="29"/>
        </w:numPr>
        <w:ind w:left="567" w:hanging="567"/>
        <w:rPr>
          <w:lang w:eastAsia="en-US"/>
        </w:rPr>
      </w:pPr>
      <w:r>
        <w:t xml:space="preserve">An Erosion and Sediment Control Plan (E&amp;SCP) and a completed Design Certificate for Erosion and Sediment Control must be provided to Council’s delegate in accordance with the requirements of the Planning Scheme Policy for </w:t>
      </w:r>
      <w:r w:rsidRPr="00626CEA">
        <w:t xml:space="preserve">Development Works prior to the onsite prestart meeting and prior to works commencing. The program must additionally contain measures to comply with the construction phase </w:t>
      </w:r>
      <w:r w:rsidRPr="00626CEA">
        <w:lastRenderedPageBreak/>
        <w:t>- stormwater management design objectives of the State Planning Policy 2017 (Appendix 2 Table A).</w:t>
      </w:r>
    </w:p>
    <w:p w14:paraId="0B169568" w14:textId="77777777" w:rsidR="00F965F4" w:rsidRDefault="00F965F4" w:rsidP="00F965F4">
      <w:pPr>
        <w:rPr>
          <w:rFonts w:cs="Arial"/>
          <w:szCs w:val="22"/>
        </w:rPr>
      </w:pPr>
    </w:p>
    <w:p w14:paraId="7C6E7604" w14:textId="5C6BC1F3" w:rsidR="00F965F4" w:rsidRDefault="00F965F4" w:rsidP="00F965F4">
      <w:pPr>
        <w:outlineLvl w:val="0"/>
        <w:rPr>
          <w:rFonts w:cs="Arial"/>
          <w:b/>
          <w:bCs/>
          <w:kern w:val="32"/>
          <w:szCs w:val="22"/>
        </w:rPr>
      </w:pPr>
      <w:bookmarkStart w:id="52" w:name="_Toc387754669"/>
      <w:r>
        <w:rPr>
          <w:rFonts w:cs="Arial"/>
          <w:b/>
          <w:bCs/>
          <w:kern w:val="32"/>
          <w:szCs w:val="22"/>
        </w:rPr>
        <w:t>DURING CONSTRUCTION</w:t>
      </w:r>
      <w:bookmarkEnd w:id="41"/>
      <w:bookmarkEnd w:id="42"/>
      <w:bookmarkEnd w:id="43"/>
      <w:bookmarkEnd w:id="44"/>
      <w:bookmarkEnd w:id="45"/>
      <w:bookmarkEnd w:id="46"/>
      <w:bookmarkEnd w:id="47"/>
      <w:bookmarkEnd w:id="48"/>
      <w:bookmarkEnd w:id="49"/>
      <w:bookmarkEnd w:id="50"/>
      <w:bookmarkEnd w:id="51"/>
      <w:bookmarkEnd w:id="52"/>
    </w:p>
    <w:p w14:paraId="34B28358" w14:textId="77777777" w:rsidR="00F965F4" w:rsidRDefault="00F965F4" w:rsidP="00F965F4">
      <w:pPr>
        <w:outlineLvl w:val="2"/>
        <w:rPr>
          <w:rFonts w:cs="Arial"/>
          <w:b/>
          <w:bCs/>
          <w:szCs w:val="22"/>
        </w:rPr>
      </w:pPr>
      <w:bookmarkStart w:id="53" w:name="_Toc359318841"/>
      <w:bookmarkStart w:id="54" w:name="_Toc359321703"/>
      <w:bookmarkStart w:id="55" w:name="_Toc359321812"/>
      <w:bookmarkStart w:id="56" w:name="_Toc359321920"/>
      <w:bookmarkStart w:id="57" w:name="_Toc359322136"/>
      <w:bookmarkStart w:id="58" w:name="_Toc360187683"/>
      <w:bookmarkStart w:id="59" w:name="_Toc361920685"/>
      <w:bookmarkStart w:id="60" w:name="_Toc361920796"/>
    </w:p>
    <w:p w14:paraId="3F65A59B" w14:textId="77777777" w:rsidR="00F965F4" w:rsidRDefault="00F965F4" w:rsidP="00F965F4">
      <w:pPr>
        <w:ind w:left="567"/>
        <w:outlineLvl w:val="2"/>
        <w:rPr>
          <w:rFonts w:cs="Arial"/>
          <w:b/>
          <w:bCs/>
          <w:szCs w:val="22"/>
        </w:rPr>
      </w:pPr>
      <w:bookmarkStart w:id="61" w:name="_Toc387754671"/>
      <w:r>
        <w:rPr>
          <w:rFonts w:cs="Arial"/>
          <w:b/>
          <w:bCs/>
          <w:szCs w:val="22"/>
        </w:rPr>
        <w:t>General</w:t>
      </w:r>
      <w:bookmarkEnd w:id="53"/>
      <w:bookmarkEnd w:id="54"/>
      <w:bookmarkEnd w:id="55"/>
      <w:bookmarkEnd w:id="56"/>
      <w:bookmarkEnd w:id="57"/>
      <w:bookmarkEnd w:id="58"/>
      <w:bookmarkEnd w:id="59"/>
      <w:bookmarkEnd w:id="60"/>
      <w:bookmarkEnd w:id="61"/>
    </w:p>
    <w:p w14:paraId="398EEE98" w14:textId="77777777" w:rsidR="00F965F4" w:rsidRDefault="00F965F4" w:rsidP="00F965F4">
      <w:pPr>
        <w:rPr>
          <w:rFonts w:cs="Arial"/>
          <w:szCs w:val="22"/>
        </w:rPr>
      </w:pPr>
    </w:p>
    <w:p w14:paraId="3B641B67" w14:textId="77777777" w:rsidR="00F965F4" w:rsidRDefault="00F965F4" w:rsidP="00074298">
      <w:pPr>
        <w:pStyle w:val="11"/>
        <w:numPr>
          <w:ilvl w:val="0"/>
          <w:numId w:val="29"/>
        </w:numPr>
        <w:ind w:left="567" w:hanging="567"/>
      </w:pPr>
      <w:r>
        <w:t xml:space="preserve">Where damage occurs to any Council asset as a result of these development works, it must be repaired immediately where it creates a hazard that presents risk to person or property.  Other damage must be repaired prior to completion of works.  </w:t>
      </w:r>
    </w:p>
    <w:p w14:paraId="0A7C24A0" w14:textId="77777777" w:rsidR="00F965F4" w:rsidRDefault="00F965F4" w:rsidP="00F965F4">
      <w:pPr>
        <w:rPr>
          <w:rFonts w:cs="Arial"/>
          <w:szCs w:val="22"/>
        </w:rPr>
      </w:pPr>
    </w:p>
    <w:p w14:paraId="5795B84F" w14:textId="77777777" w:rsidR="00F965F4" w:rsidRDefault="00F965F4" w:rsidP="00074298">
      <w:pPr>
        <w:pStyle w:val="11"/>
        <w:numPr>
          <w:ilvl w:val="0"/>
          <w:numId w:val="29"/>
        </w:numPr>
        <w:ind w:left="567" w:hanging="567"/>
        <w:rPr>
          <w:lang w:eastAsia="en-US"/>
        </w:rPr>
      </w:pPr>
      <w:r>
        <w:t xml:space="preserve">A Registered Professional Engineer, Queensland (RPEQ) must undertake the necessary supervision, inspections, testing and or auditing of the works to enable them to certify that all works conform to the Operational Works approval and current engineering standards.  Where municipal works are involved, such confirmation must be submitted for the respective hold points prior to any site inspection by Council officers.  </w:t>
      </w:r>
    </w:p>
    <w:p w14:paraId="25CC92A8" w14:textId="77777777" w:rsidR="00F965F4" w:rsidRDefault="00F965F4" w:rsidP="00F965F4">
      <w:pPr>
        <w:rPr>
          <w:szCs w:val="22"/>
        </w:rPr>
      </w:pPr>
    </w:p>
    <w:p w14:paraId="3422F659" w14:textId="77777777" w:rsidR="00F965F4" w:rsidRDefault="00F965F4" w:rsidP="00074298">
      <w:pPr>
        <w:pStyle w:val="11"/>
        <w:numPr>
          <w:ilvl w:val="0"/>
          <w:numId w:val="29"/>
        </w:numPr>
        <w:ind w:left="567" w:hanging="567"/>
      </w:pPr>
      <w:r>
        <w:t>All works must be constructed, and work procedure undertaken in accordance with:</w:t>
      </w:r>
    </w:p>
    <w:p w14:paraId="3C517A77" w14:textId="77777777" w:rsidR="00F965F4" w:rsidRDefault="00F965F4" w:rsidP="00074298">
      <w:pPr>
        <w:pStyle w:val="L1"/>
        <w:numPr>
          <w:ilvl w:val="1"/>
          <w:numId w:val="31"/>
        </w:numPr>
      </w:pPr>
      <w:r>
        <w:t xml:space="preserve">The approved plans, </w:t>
      </w:r>
      <w:r>
        <w:rPr>
          <w:color w:val="000000"/>
        </w:rPr>
        <w:t>documents an</w:t>
      </w:r>
      <w:r>
        <w:t xml:space="preserve">d conditions detailed in this Decision Notice.  </w:t>
      </w:r>
    </w:p>
    <w:p w14:paraId="1CD401AC" w14:textId="77777777" w:rsidR="00F965F4" w:rsidRDefault="00F965F4" w:rsidP="00074298">
      <w:pPr>
        <w:pStyle w:val="L1"/>
        <w:numPr>
          <w:ilvl w:val="1"/>
          <w:numId w:val="31"/>
        </w:numPr>
      </w:pPr>
      <w:r>
        <w:t xml:space="preserve">The relevant conditions of the higher order Material Change of Use approval viz. MCU18/0190.02 to which this approval relates.  </w:t>
      </w:r>
    </w:p>
    <w:p w14:paraId="0C50E02E" w14:textId="77777777" w:rsidR="00F965F4" w:rsidRDefault="00F965F4" w:rsidP="00074298">
      <w:pPr>
        <w:pStyle w:val="L1"/>
        <w:numPr>
          <w:ilvl w:val="1"/>
          <w:numId w:val="31"/>
        </w:numPr>
      </w:pPr>
      <w:r>
        <w:t xml:space="preserve">All relevant Council Planning Scheme Policies, standard drawings, standard specifications and guidelines.  </w:t>
      </w:r>
    </w:p>
    <w:p w14:paraId="15B4FD23" w14:textId="77777777" w:rsidR="00F965F4" w:rsidRDefault="00F965F4" w:rsidP="00F965F4">
      <w:pPr>
        <w:rPr>
          <w:rFonts w:cs="Arial"/>
          <w:szCs w:val="22"/>
        </w:rPr>
      </w:pPr>
    </w:p>
    <w:p w14:paraId="5B5FD293" w14:textId="77777777" w:rsidR="00F965F4" w:rsidRDefault="00F965F4" w:rsidP="00F965F4">
      <w:pPr>
        <w:ind w:left="567"/>
        <w:outlineLvl w:val="2"/>
        <w:rPr>
          <w:rFonts w:cs="Arial"/>
          <w:b/>
          <w:bCs/>
          <w:szCs w:val="22"/>
        </w:rPr>
      </w:pPr>
      <w:r>
        <w:rPr>
          <w:rFonts w:cs="Arial"/>
          <w:b/>
          <w:bCs/>
          <w:szCs w:val="22"/>
        </w:rPr>
        <w:t>Ecology - Turtle Lighting</w:t>
      </w:r>
    </w:p>
    <w:p w14:paraId="061E2759" w14:textId="77777777" w:rsidR="00F965F4" w:rsidRDefault="00F965F4" w:rsidP="00F965F4">
      <w:pPr>
        <w:pStyle w:val="NormalBold"/>
        <w:keepNext w:val="0"/>
        <w:spacing w:before="0" w:after="0"/>
        <w:ind w:firstLine="0"/>
        <w:jc w:val="both"/>
        <w:rPr>
          <w:rFonts w:cs="Arial"/>
          <w:b w:val="0"/>
        </w:rPr>
      </w:pPr>
    </w:p>
    <w:p w14:paraId="4DD841EB" w14:textId="77777777" w:rsidR="00F965F4" w:rsidRDefault="00F965F4" w:rsidP="00074298">
      <w:pPr>
        <w:pStyle w:val="11"/>
        <w:numPr>
          <w:ilvl w:val="0"/>
          <w:numId w:val="29"/>
        </w:numPr>
        <w:ind w:left="567" w:hanging="567"/>
      </w:pPr>
      <w:r>
        <w:t xml:space="preserve">To minimise the impact of the development on turtle nesting, and the sea-finding behaviour and ocean orientation of hatchlings, the following actions are required to be undertaken during construction of the development: </w:t>
      </w:r>
    </w:p>
    <w:p w14:paraId="7C65C43C" w14:textId="77777777" w:rsidR="00F965F4" w:rsidRDefault="00F965F4" w:rsidP="00074298">
      <w:pPr>
        <w:pStyle w:val="L1"/>
        <w:numPr>
          <w:ilvl w:val="1"/>
          <w:numId w:val="32"/>
        </w:numPr>
      </w:pPr>
      <w:r>
        <w:t xml:space="preserve">Construction works are to be restricted to daylight hours during the turtle nesting and hatching season (October – May) in addition to any further restriction imposed as part of the Operational Works approval.  </w:t>
      </w:r>
    </w:p>
    <w:p w14:paraId="67263944" w14:textId="77777777" w:rsidR="00F965F4" w:rsidRDefault="00F965F4" w:rsidP="00074298">
      <w:pPr>
        <w:pStyle w:val="L1"/>
        <w:numPr>
          <w:ilvl w:val="1"/>
          <w:numId w:val="32"/>
        </w:numPr>
      </w:pPr>
      <w:r>
        <w:t xml:space="preserve">Flood lighting and spot lighting must not be used from October – May (turtle nesting and hatching season).  Allowable lighting must be of reduced intensity, long wavelength lights all of which are fitted with shields; outdoor lighting must be located low to the ground, and directed only onto specific areas of interest (not upwards) and, directed away from the beach, to avoid direct illumination of the beach, ocean and sky at night.  </w:t>
      </w:r>
    </w:p>
    <w:p w14:paraId="4915F36F" w14:textId="77777777" w:rsidR="002422C3" w:rsidRDefault="002422C3" w:rsidP="00F965F4">
      <w:pPr>
        <w:autoSpaceDE w:val="0"/>
        <w:autoSpaceDN w:val="0"/>
        <w:adjustRightInd w:val="0"/>
        <w:ind w:firstLine="567"/>
        <w:rPr>
          <w:rFonts w:cs="Arial"/>
          <w:b/>
          <w:iCs/>
          <w:szCs w:val="22"/>
          <w:lang w:val="en-US"/>
        </w:rPr>
      </w:pPr>
      <w:bookmarkStart w:id="62" w:name="_Toc359318845"/>
      <w:bookmarkStart w:id="63" w:name="_Toc359321707"/>
      <w:bookmarkStart w:id="64" w:name="_Toc359321816"/>
      <w:bookmarkStart w:id="65" w:name="_Toc359321924"/>
      <w:bookmarkStart w:id="66" w:name="_Toc359322140"/>
      <w:bookmarkStart w:id="67" w:name="_Toc360187687"/>
      <w:bookmarkStart w:id="68" w:name="_Toc361920689"/>
      <w:bookmarkStart w:id="69" w:name="_Toc361920800"/>
      <w:bookmarkStart w:id="70" w:name="_Toc387754677"/>
    </w:p>
    <w:p w14:paraId="1C69EE45" w14:textId="3A28C4E2" w:rsidR="00F965F4" w:rsidRDefault="00F965F4" w:rsidP="00F965F4">
      <w:pPr>
        <w:autoSpaceDE w:val="0"/>
        <w:autoSpaceDN w:val="0"/>
        <w:adjustRightInd w:val="0"/>
        <w:ind w:firstLine="567"/>
        <w:rPr>
          <w:rFonts w:cs="Arial"/>
          <w:b/>
          <w:iCs/>
          <w:szCs w:val="22"/>
          <w:lang w:val="en-US"/>
        </w:rPr>
      </w:pPr>
      <w:r>
        <w:rPr>
          <w:rFonts w:cs="Arial"/>
          <w:b/>
          <w:iCs/>
          <w:szCs w:val="22"/>
          <w:lang w:val="en-US"/>
        </w:rPr>
        <w:t>Works within Road Reserve/Reinstatement</w:t>
      </w:r>
    </w:p>
    <w:bookmarkEnd w:id="62"/>
    <w:bookmarkEnd w:id="63"/>
    <w:bookmarkEnd w:id="64"/>
    <w:bookmarkEnd w:id="65"/>
    <w:bookmarkEnd w:id="66"/>
    <w:bookmarkEnd w:id="67"/>
    <w:bookmarkEnd w:id="68"/>
    <w:bookmarkEnd w:id="69"/>
    <w:bookmarkEnd w:id="70"/>
    <w:p w14:paraId="26E69945" w14:textId="77777777" w:rsidR="00F965F4" w:rsidRDefault="00F965F4" w:rsidP="00F965F4">
      <w:pPr>
        <w:rPr>
          <w:rFonts w:cs="Arial"/>
          <w:szCs w:val="22"/>
        </w:rPr>
      </w:pPr>
    </w:p>
    <w:p w14:paraId="7792BB7D" w14:textId="77777777" w:rsidR="00F965F4" w:rsidRDefault="00F965F4" w:rsidP="00074298">
      <w:pPr>
        <w:pStyle w:val="11"/>
        <w:numPr>
          <w:ilvl w:val="0"/>
          <w:numId w:val="29"/>
        </w:numPr>
        <w:ind w:left="567" w:hanging="567"/>
      </w:pPr>
      <w:r>
        <w:t xml:space="preserve">Safe pedestrian access on all streets in the vicinity of the development must be maintained at all times.  When footpath/road closures become necessary to carry out construction works, Council’s Engineering Officer must be notified prior to the proposed closure and all requirements complied with.  </w:t>
      </w:r>
    </w:p>
    <w:p w14:paraId="532F98EE" w14:textId="77777777" w:rsidR="00F965F4" w:rsidRDefault="00F965F4" w:rsidP="00F965F4">
      <w:pPr>
        <w:rPr>
          <w:rFonts w:cs="Arial"/>
          <w:szCs w:val="22"/>
        </w:rPr>
      </w:pPr>
    </w:p>
    <w:p w14:paraId="640AB94D" w14:textId="60CA8C07" w:rsidR="00F965F4" w:rsidRDefault="00F965F4" w:rsidP="00074298">
      <w:pPr>
        <w:pStyle w:val="11"/>
        <w:numPr>
          <w:ilvl w:val="0"/>
          <w:numId w:val="29"/>
        </w:numPr>
        <w:ind w:left="567" w:hanging="567"/>
      </w:pPr>
      <w:r>
        <w:t xml:space="preserve">All frontage works must match neatly with existing road and verge/footpath features.  Additional works beyond the frontage may be required to provide an acceptable transition to existing road and verge/footpath profiles. </w:t>
      </w:r>
    </w:p>
    <w:p w14:paraId="556ACE25" w14:textId="77777777" w:rsidR="00626CEA" w:rsidRDefault="00626CEA" w:rsidP="00626CEA">
      <w:pPr>
        <w:rPr>
          <w:rFonts w:cs="Arial"/>
          <w:szCs w:val="22"/>
        </w:rPr>
      </w:pPr>
    </w:p>
    <w:p w14:paraId="0A73ACD2" w14:textId="77777777" w:rsidR="00F965F4" w:rsidRDefault="00F965F4" w:rsidP="00F965F4">
      <w:pPr>
        <w:rPr>
          <w:rFonts w:cs="Arial"/>
          <w:color w:val="000000"/>
          <w:szCs w:val="22"/>
        </w:rPr>
      </w:pPr>
    </w:p>
    <w:p w14:paraId="12B9B2B5" w14:textId="77777777" w:rsidR="00F965F4" w:rsidRDefault="00F965F4" w:rsidP="00074298">
      <w:pPr>
        <w:pStyle w:val="11"/>
        <w:numPr>
          <w:ilvl w:val="0"/>
          <w:numId w:val="29"/>
        </w:numPr>
        <w:ind w:left="567" w:hanging="567"/>
      </w:pPr>
      <w:r>
        <w:lastRenderedPageBreak/>
        <w:t xml:space="preserve">The applicant is fully responsible for all costs associated with the development works including alterations, rectification or removal of public utility as well as any unforeseen or unplanned costs necessary to fulfil the requirements of this approval.  </w:t>
      </w:r>
    </w:p>
    <w:p w14:paraId="790988FD" w14:textId="77777777" w:rsidR="00F965F4" w:rsidRDefault="00F965F4" w:rsidP="00F965F4">
      <w:pPr>
        <w:rPr>
          <w:rFonts w:cs="Arial"/>
          <w:szCs w:val="22"/>
        </w:rPr>
      </w:pPr>
    </w:p>
    <w:p w14:paraId="7DD95DCC" w14:textId="77777777" w:rsidR="00F965F4" w:rsidRDefault="00F965F4" w:rsidP="00F965F4">
      <w:pPr>
        <w:ind w:left="567"/>
        <w:outlineLvl w:val="2"/>
        <w:rPr>
          <w:rFonts w:cs="Arial"/>
          <w:b/>
          <w:bCs/>
          <w:szCs w:val="22"/>
        </w:rPr>
      </w:pPr>
      <w:bookmarkStart w:id="71" w:name="_Toc359318846"/>
      <w:bookmarkStart w:id="72" w:name="_Toc359321708"/>
      <w:bookmarkStart w:id="73" w:name="_Toc359321817"/>
      <w:bookmarkStart w:id="74" w:name="_Toc359321925"/>
      <w:bookmarkStart w:id="75" w:name="_Toc359322141"/>
      <w:bookmarkStart w:id="76" w:name="_Toc360187688"/>
      <w:bookmarkStart w:id="77" w:name="_Toc361920690"/>
      <w:bookmarkStart w:id="78" w:name="_Toc361920801"/>
      <w:bookmarkStart w:id="79" w:name="_Toc387754678"/>
      <w:r>
        <w:rPr>
          <w:rFonts w:cs="Arial"/>
          <w:b/>
          <w:bCs/>
          <w:szCs w:val="22"/>
        </w:rPr>
        <w:t>Pathways and Access Points</w:t>
      </w:r>
      <w:bookmarkEnd w:id="71"/>
      <w:bookmarkEnd w:id="72"/>
      <w:bookmarkEnd w:id="73"/>
      <w:bookmarkEnd w:id="74"/>
      <w:bookmarkEnd w:id="75"/>
      <w:bookmarkEnd w:id="76"/>
      <w:bookmarkEnd w:id="77"/>
      <w:bookmarkEnd w:id="78"/>
      <w:bookmarkEnd w:id="79"/>
    </w:p>
    <w:p w14:paraId="16F0601C" w14:textId="77777777" w:rsidR="00F965F4" w:rsidRDefault="00F965F4" w:rsidP="00F965F4">
      <w:pPr>
        <w:rPr>
          <w:szCs w:val="22"/>
        </w:rPr>
      </w:pPr>
    </w:p>
    <w:p w14:paraId="1EA3D589" w14:textId="77777777" w:rsidR="00F965F4" w:rsidRDefault="00F965F4" w:rsidP="00074298">
      <w:pPr>
        <w:pStyle w:val="11"/>
        <w:numPr>
          <w:ilvl w:val="0"/>
          <w:numId w:val="29"/>
        </w:numPr>
        <w:ind w:left="567" w:hanging="567"/>
        <w:rPr>
          <w:color w:val="000000"/>
        </w:rPr>
      </w:pPr>
      <w:r>
        <w:rPr>
          <w:color w:val="000000"/>
        </w:rPr>
        <w:t xml:space="preserve">All </w:t>
      </w:r>
      <w:r>
        <w:t>pathways</w:t>
      </w:r>
      <w:r>
        <w:rPr>
          <w:color w:val="000000"/>
        </w:rPr>
        <w:t xml:space="preserve"> must be constructed in accordance with the following requirements:</w:t>
      </w:r>
    </w:p>
    <w:p w14:paraId="0E43A790" w14:textId="77777777" w:rsidR="00F965F4" w:rsidRDefault="00F965F4" w:rsidP="00074298">
      <w:pPr>
        <w:numPr>
          <w:ilvl w:val="1"/>
          <w:numId w:val="33"/>
        </w:numPr>
        <w:rPr>
          <w:rFonts w:cs="Arial"/>
          <w:color w:val="000000"/>
          <w:szCs w:val="22"/>
          <w:lang w:eastAsia="en-US"/>
        </w:rPr>
      </w:pPr>
      <w:r>
        <w:rPr>
          <w:rFonts w:cs="Arial"/>
          <w:szCs w:val="22"/>
        </w:rPr>
        <w:t>All</w:t>
      </w:r>
      <w:r>
        <w:rPr>
          <w:rFonts w:cs="Arial"/>
          <w:color w:val="000000"/>
          <w:szCs w:val="22"/>
        </w:rPr>
        <w:t xml:space="preserve"> footpaths/cycleways must comply with council’s adopted standard engineering drawing IPWEA RS-065.  </w:t>
      </w:r>
    </w:p>
    <w:p w14:paraId="547FFB08" w14:textId="77777777" w:rsidR="00F965F4" w:rsidRDefault="00F965F4" w:rsidP="00074298">
      <w:pPr>
        <w:numPr>
          <w:ilvl w:val="1"/>
          <w:numId w:val="33"/>
        </w:numPr>
        <w:rPr>
          <w:rFonts w:cs="Arial"/>
          <w:color w:val="000000"/>
          <w:szCs w:val="22"/>
        </w:rPr>
      </w:pPr>
      <w:r>
        <w:rPr>
          <w:rFonts w:cs="Arial"/>
          <w:color w:val="000000"/>
          <w:szCs w:val="22"/>
        </w:rPr>
        <w:t xml:space="preserve">Provision must be made for disabled access at all kerb crossings associated with pathways, in accordance with council's adapted standard drawings IPWEA RS-090 and RS-091.  </w:t>
      </w:r>
    </w:p>
    <w:p w14:paraId="4CCE32D4" w14:textId="77777777" w:rsidR="00F965F4" w:rsidRDefault="00F965F4" w:rsidP="00074298">
      <w:pPr>
        <w:numPr>
          <w:ilvl w:val="1"/>
          <w:numId w:val="33"/>
        </w:numPr>
        <w:rPr>
          <w:rFonts w:cs="Arial"/>
          <w:color w:val="000000"/>
          <w:szCs w:val="22"/>
        </w:rPr>
      </w:pPr>
      <w:r>
        <w:rPr>
          <w:rFonts w:cs="Arial"/>
          <w:color w:val="000000"/>
          <w:szCs w:val="22"/>
        </w:rPr>
        <w:t xml:space="preserve">All paths must have a slip resistant surface.  </w:t>
      </w:r>
    </w:p>
    <w:p w14:paraId="1D80CF73" w14:textId="77777777" w:rsidR="00F965F4" w:rsidRDefault="00F965F4" w:rsidP="00074298">
      <w:pPr>
        <w:numPr>
          <w:ilvl w:val="1"/>
          <w:numId w:val="33"/>
        </w:numPr>
        <w:rPr>
          <w:rFonts w:cs="Arial"/>
          <w:color w:val="000000"/>
          <w:szCs w:val="22"/>
        </w:rPr>
      </w:pPr>
      <w:r>
        <w:rPr>
          <w:rFonts w:cs="Arial"/>
          <w:color w:val="000000"/>
          <w:szCs w:val="22"/>
        </w:rPr>
        <w:t xml:space="preserve">Expansion and contraction joints must provide a flush finish. Installation of joints by saw cutting is preferred to ensure a smooth ride for cyclists.  </w:t>
      </w:r>
    </w:p>
    <w:p w14:paraId="71A33FD9" w14:textId="77777777" w:rsidR="00F965F4" w:rsidRDefault="00F965F4" w:rsidP="00074298">
      <w:pPr>
        <w:numPr>
          <w:ilvl w:val="1"/>
          <w:numId w:val="33"/>
        </w:numPr>
        <w:rPr>
          <w:rFonts w:cs="Arial"/>
          <w:color w:val="000000"/>
          <w:szCs w:val="22"/>
        </w:rPr>
      </w:pPr>
      <w:r>
        <w:rPr>
          <w:rFonts w:cs="Arial"/>
          <w:color w:val="000000"/>
          <w:szCs w:val="22"/>
        </w:rPr>
        <w:t xml:space="preserve">The required work includes any modifications to ensure the footpath finishes flush with all existing service covers and the like, or alternatively these services are raised or altered, so as not to create a pedestrian safety hazard.  </w:t>
      </w:r>
    </w:p>
    <w:p w14:paraId="1ED55634" w14:textId="77777777" w:rsidR="00F965F4" w:rsidRDefault="00F965F4" w:rsidP="00F965F4">
      <w:pPr>
        <w:rPr>
          <w:rFonts w:cs="Arial"/>
          <w:color w:val="000000"/>
          <w:szCs w:val="22"/>
        </w:rPr>
      </w:pPr>
    </w:p>
    <w:p w14:paraId="7958D1CB" w14:textId="77777777" w:rsidR="00F965F4" w:rsidRDefault="00F965F4" w:rsidP="00074298">
      <w:pPr>
        <w:pStyle w:val="11"/>
        <w:numPr>
          <w:ilvl w:val="0"/>
          <w:numId w:val="29"/>
        </w:numPr>
        <w:ind w:left="567" w:hanging="567"/>
      </w:pPr>
      <w:r>
        <w:t>Pathways must:</w:t>
      </w:r>
    </w:p>
    <w:p w14:paraId="5F754ED5" w14:textId="77777777" w:rsidR="00F965F4" w:rsidRDefault="00F965F4" w:rsidP="00074298">
      <w:pPr>
        <w:numPr>
          <w:ilvl w:val="1"/>
          <w:numId w:val="34"/>
        </w:numPr>
        <w:rPr>
          <w:rFonts w:cs="Arial"/>
          <w:szCs w:val="22"/>
        </w:rPr>
      </w:pPr>
      <w:r>
        <w:rPr>
          <w:rFonts w:cs="Arial"/>
          <w:szCs w:val="22"/>
        </w:rPr>
        <w:t xml:space="preserve">Terminate in a manner that ensures smooth transition to existing surfaces for public safety.  </w:t>
      </w:r>
    </w:p>
    <w:p w14:paraId="325E2569" w14:textId="77777777" w:rsidR="00F965F4" w:rsidRDefault="00F965F4" w:rsidP="00074298">
      <w:pPr>
        <w:numPr>
          <w:ilvl w:val="1"/>
          <w:numId w:val="34"/>
        </w:numPr>
        <w:rPr>
          <w:rFonts w:cs="Arial"/>
          <w:i/>
          <w:szCs w:val="22"/>
        </w:rPr>
      </w:pPr>
      <w:r>
        <w:rPr>
          <w:rFonts w:cs="Arial"/>
          <w:szCs w:val="22"/>
        </w:rPr>
        <w:t xml:space="preserve">Be designed and constructed to comply with </w:t>
      </w:r>
      <w:r>
        <w:rPr>
          <w:bCs/>
          <w:color w:val="000000"/>
        </w:rPr>
        <w:t>IPWEA</w:t>
      </w:r>
      <w:r>
        <w:rPr>
          <w:bCs/>
          <w:color w:val="000000" w:themeColor="text1"/>
        </w:rPr>
        <w:t>Q</w:t>
      </w:r>
      <w:r>
        <w:rPr>
          <w:bCs/>
          <w:color w:val="000000"/>
        </w:rPr>
        <w:t xml:space="preserve"> Standards, </w:t>
      </w:r>
      <w:r>
        <w:rPr>
          <w:rFonts w:cs="Arial"/>
          <w:szCs w:val="22"/>
        </w:rPr>
        <w:t xml:space="preserve">Austroads and relevant sections of </w:t>
      </w:r>
      <w:r>
        <w:rPr>
          <w:rFonts w:cs="Arial"/>
          <w:i/>
          <w:szCs w:val="22"/>
        </w:rPr>
        <w:t xml:space="preserve">AS 1428 - Design for access and mobility.  </w:t>
      </w:r>
    </w:p>
    <w:p w14:paraId="60CDF36D" w14:textId="77777777" w:rsidR="00F965F4" w:rsidRDefault="00F965F4" w:rsidP="00074298">
      <w:pPr>
        <w:pStyle w:val="L1"/>
        <w:numPr>
          <w:ilvl w:val="1"/>
          <w:numId w:val="34"/>
        </w:numPr>
      </w:pPr>
      <w:r>
        <w:t>Maintain a minimum 10m radius (preferably a 25m radius) for any alignment changes.</w:t>
      </w:r>
    </w:p>
    <w:p w14:paraId="580084F9" w14:textId="77777777" w:rsidR="00F965F4" w:rsidRDefault="00F965F4" w:rsidP="00074298">
      <w:pPr>
        <w:pStyle w:val="L1"/>
        <w:numPr>
          <w:ilvl w:val="1"/>
          <w:numId w:val="34"/>
        </w:numPr>
      </w:pPr>
      <w:r>
        <w:t xml:space="preserve">Maintain a minimum 0.5m clearance from any vertical obstruction (e.g. power poles) or increase pathway width in close (&lt;0.5m) proximity, where located within the road reserve, unless specifically agreed otherwise by Council.  </w:t>
      </w:r>
    </w:p>
    <w:p w14:paraId="26FA1F46" w14:textId="77777777" w:rsidR="00F965F4" w:rsidRDefault="00F965F4" w:rsidP="00F965F4">
      <w:pPr>
        <w:outlineLvl w:val="2"/>
        <w:rPr>
          <w:rFonts w:cs="Arial"/>
          <w:bCs/>
          <w:szCs w:val="22"/>
        </w:rPr>
      </w:pPr>
      <w:bookmarkStart w:id="80" w:name="_Toc359318847"/>
      <w:bookmarkStart w:id="81" w:name="_Toc359321709"/>
      <w:bookmarkStart w:id="82" w:name="_Toc359321818"/>
      <w:bookmarkStart w:id="83" w:name="_Toc359321926"/>
      <w:bookmarkStart w:id="84" w:name="_Toc359322142"/>
      <w:bookmarkStart w:id="85" w:name="_Toc360187689"/>
      <w:bookmarkStart w:id="86" w:name="_Toc361920691"/>
      <w:bookmarkStart w:id="87" w:name="_Toc361920802"/>
    </w:p>
    <w:p w14:paraId="648E7999" w14:textId="77777777" w:rsidR="00F965F4" w:rsidRDefault="00F965F4" w:rsidP="00F965F4">
      <w:pPr>
        <w:ind w:firstLine="567"/>
        <w:outlineLvl w:val="2"/>
        <w:rPr>
          <w:rFonts w:cs="Arial"/>
          <w:b/>
          <w:bCs/>
          <w:szCs w:val="22"/>
        </w:rPr>
      </w:pPr>
      <w:bookmarkStart w:id="88" w:name="_Toc387754679"/>
      <w:r>
        <w:rPr>
          <w:rFonts w:cs="Arial"/>
          <w:b/>
          <w:bCs/>
          <w:szCs w:val="22"/>
        </w:rPr>
        <w:t>Site Access and Driveways</w:t>
      </w:r>
      <w:bookmarkEnd w:id="80"/>
      <w:bookmarkEnd w:id="81"/>
      <w:bookmarkEnd w:id="82"/>
      <w:bookmarkEnd w:id="83"/>
      <w:bookmarkEnd w:id="84"/>
      <w:bookmarkEnd w:id="85"/>
      <w:bookmarkEnd w:id="86"/>
      <w:bookmarkEnd w:id="87"/>
      <w:bookmarkEnd w:id="88"/>
    </w:p>
    <w:p w14:paraId="48DBD320" w14:textId="77777777" w:rsidR="00F965F4" w:rsidRDefault="00F965F4" w:rsidP="00F965F4">
      <w:pPr>
        <w:rPr>
          <w:rFonts w:cs="Arial"/>
          <w:szCs w:val="22"/>
        </w:rPr>
      </w:pPr>
    </w:p>
    <w:p w14:paraId="343F45B9" w14:textId="77777777" w:rsidR="00F965F4" w:rsidRDefault="00F965F4" w:rsidP="00074298">
      <w:pPr>
        <w:pStyle w:val="11"/>
        <w:numPr>
          <w:ilvl w:val="0"/>
          <w:numId w:val="29"/>
        </w:numPr>
        <w:ind w:left="567" w:hanging="567"/>
      </w:pPr>
      <w:r>
        <w:t>Driveway crossovers must be constructed in accordance with C</w:t>
      </w:r>
      <w:r>
        <w:rPr>
          <w:color w:val="000000"/>
        </w:rPr>
        <w:t xml:space="preserve">ouncil’s adopted standard engineering </w:t>
      </w:r>
      <w:r>
        <w:t xml:space="preserve">drawings IPWEA RS-050 and RS-051.  </w:t>
      </w:r>
    </w:p>
    <w:p w14:paraId="7A628E8A" w14:textId="77777777" w:rsidR="00F965F4" w:rsidRDefault="00F965F4" w:rsidP="00F965F4">
      <w:pPr>
        <w:tabs>
          <w:tab w:val="left" w:pos="5462"/>
        </w:tabs>
        <w:rPr>
          <w:rFonts w:cs="Arial"/>
          <w:szCs w:val="22"/>
        </w:rPr>
      </w:pPr>
    </w:p>
    <w:p w14:paraId="32033726" w14:textId="77777777" w:rsidR="00F965F4" w:rsidRDefault="00F965F4" w:rsidP="00074298">
      <w:pPr>
        <w:pStyle w:val="11"/>
        <w:numPr>
          <w:ilvl w:val="0"/>
          <w:numId w:val="29"/>
        </w:numPr>
        <w:ind w:left="567" w:hanging="567"/>
        <w:rPr>
          <w:szCs w:val="20"/>
          <w:lang w:eastAsia="en-US"/>
        </w:rPr>
      </w:pPr>
      <w:r>
        <w:t xml:space="preserve">Any existing unnecessary or redundant property access must be removed, and the kerb, footpath and verge area reinstated to match the existing footpath and verge treatments.  Grassed verge areas to be reinstated must be provided with 100mm topsoil/turf and must be maintained by the developer until established.  </w:t>
      </w:r>
    </w:p>
    <w:p w14:paraId="40677FC0" w14:textId="77777777" w:rsidR="00F965F4" w:rsidRDefault="00F965F4" w:rsidP="00F965F4">
      <w:pPr>
        <w:rPr>
          <w:rFonts w:cs="Arial"/>
          <w:szCs w:val="22"/>
        </w:rPr>
      </w:pPr>
    </w:p>
    <w:p w14:paraId="5D9CC582" w14:textId="77777777" w:rsidR="00F965F4" w:rsidRDefault="00F965F4" w:rsidP="00074298">
      <w:pPr>
        <w:pStyle w:val="11"/>
        <w:numPr>
          <w:ilvl w:val="0"/>
          <w:numId w:val="29"/>
        </w:numPr>
        <w:ind w:left="567" w:hanging="567"/>
      </w:pPr>
      <w:r>
        <w:t>The following must be complied with during the construction of the required crossover/driveway:</w:t>
      </w:r>
    </w:p>
    <w:p w14:paraId="6252077B" w14:textId="77777777" w:rsidR="00F965F4" w:rsidRDefault="00F965F4" w:rsidP="00074298">
      <w:pPr>
        <w:numPr>
          <w:ilvl w:val="1"/>
          <w:numId w:val="35"/>
        </w:numPr>
        <w:rPr>
          <w:rFonts w:cs="Arial"/>
          <w:iCs/>
          <w:szCs w:val="22"/>
        </w:rPr>
      </w:pPr>
      <w:r>
        <w:rPr>
          <w:rFonts w:cs="Arial"/>
          <w:iCs/>
          <w:szCs w:val="22"/>
        </w:rPr>
        <w:t xml:space="preserve">Residential driveway pavements to be in accordance with </w:t>
      </w:r>
      <w:r>
        <w:rPr>
          <w:rFonts w:cs="Arial"/>
          <w:i/>
          <w:iCs/>
          <w:szCs w:val="22"/>
        </w:rPr>
        <w:t xml:space="preserve">AS 3727.1 – Pavements – Residential.  </w:t>
      </w:r>
    </w:p>
    <w:p w14:paraId="7FF5F22A" w14:textId="77777777" w:rsidR="00F965F4" w:rsidRDefault="00F965F4" w:rsidP="00074298">
      <w:pPr>
        <w:numPr>
          <w:ilvl w:val="1"/>
          <w:numId w:val="35"/>
        </w:numPr>
        <w:rPr>
          <w:rFonts w:cs="Arial"/>
          <w:iCs/>
          <w:szCs w:val="22"/>
        </w:rPr>
      </w:pPr>
      <w:r>
        <w:rPr>
          <w:rFonts w:cs="Arial"/>
          <w:szCs w:val="22"/>
        </w:rPr>
        <w:t xml:space="preserve">The driveway must be constructed so as not to concentrate stormwater runoff onto neighbouring properties.  </w:t>
      </w:r>
    </w:p>
    <w:p w14:paraId="19583876" w14:textId="63899A1C" w:rsidR="00F965F4" w:rsidRPr="00626CEA" w:rsidRDefault="00F965F4" w:rsidP="00074298">
      <w:pPr>
        <w:numPr>
          <w:ilvl w:val="1"/>
          <w:numId w:val="35"/>
        </w:numPr>
        <w:rPr>
          <w:rFonts w:cs="Arial"/>
          <w:iCs/>
          <w:szCs w:val="22"/>
        </w:rPr>
      </w:pPr>
      <w:r>
        <w:rPr>
          <w:rFonts w:cs="Arial"/>
          <w:szCs w:val="22"/>
        </w:rPr>
        <w:t xml:space="preserve">Underground service conduits for water supply, electricity and any other services must be provided as part of the access driveway.  </w:t>
      </w:r>
    </w:p>
    <w:p w14:paraId="687ABC70" w14:textId="77777777" w:rsidR="00F965F4" w:rsidRDefault="00F965F4" w:rsidP="00074298">
      <w:pPr>
        <w:numPr>
          <w:ilvl w:val="1"/>
          <w:numId w:val="35"/>
        </w:numPr>
        <w:rPr>
          <w:rFonts w:cs="Arial"/>
          <w:i/>
          <w:iCs/>
          <w:szCs w:val="22"/>
        </w:rPr>
      </w:pPr>
      <w:r>
        <w:rPr>
          <w:rFonts w:cs="Arial"/>
          <w:szCs w:val="22"/>
        </w:rPr>
        <w:t xml:space="preserve">Where used for parking, the longitudinal gradient and crossfall of all driveways must comply with the requirements of </w:t>
      </w:r>
      <w:r>
        <w:rPr>
          <w:rFonts w:cs="Arial"/>
          <w:i/>
          <w:szCs w:val="22"/>
        </w:rPr>
        <w:t>AS 2890 – Parking facilities</w:t>
      </w:r>
    </w:p>
    <w:p w14:paraId="479C1005" w14:textId="77777777" w:rsidR="00F965F4" w:rsidRDefault="00F965F4" w:rsidP="00074298">
      <w:pPr>
        <w:numPr>
          <w:ilvl w:val="1"/>
          <w:numId w:val="35"/>
        </w:numPr>
        <w:rPr>
          <w:rFonts w:cs="Arial"/>
          <w:iCs/>
          <w:szCs w:val="22"/>
        </w:rPr>
      </w:pPr>
      <w:r>
        <w:rPr>
          <w:rFonts w:cs="Arial"/>
          <w:iCs/>
          <w:szCs w:val="22"/>
        </w:rPr>
        <w:t xml:space="preserve">For existing pedestrian paths, a matching crossfall must be provided for the driveway on the alignment of the path, for the full width of the path.  </w:t>
      </w:r>
    </w:p>
    <w:p w14:paraId="491F68E8" w14:textId="77777777" w:rsidR="00F965F4" w:rsidRDefault="00F965F4" w:rsidP="00F965F4">
      <w:pPr>
        <w:rPr>
          <w:rFonts w:cs="Arial"/>
          <w:color w:val="000000"/>
          <w:szCs w:val="22"/>
        </w:rPr>
      </w:pPr>
    </w:p>
    <w:p w14:paraId="550864FF" w14:textId="77777777" w:rsidR="00F965F4" w:rsidRDefault="00F965F4" w:rsidP="00074298">
      <w:pPr>
        <w:pStyle w:val="11"/>
        <w:numPr>
          <w:ilvl w:val="0"/>
          <w:numId w:val="29"/>
        </w:numPr>
        <w:ind w:left="567" w:hanging="567"/>
        <w:rPr>
          <w:szCs w:val="20"/>
          <w:lang w:eastAsia="en-US"/>
        </w:rPr>
      </w:pPr>
      <w:r>
        <w:lastRenderedPageBreak/>
        <w:t xml:space="preserve">The property access must be located a minimum of 1m clear of power poles, streetlights, other signage, street trees and stormwater entry pits.  The applicant is responsible for any necessary relocation of existing services to provide this clearance and must contact the relevant service authorities and comply with their requirements in relation to these works.  </w:t>
      </w:r>
    </w:p>
    <w:p w14:paraId="3E1766E0" w14:textId="77777777" w:rsidR="00F965F4" w:rsidRDefault="00F965F4" w:rsidP="00F965F4">
      <w:pPr>
        <w:rPr>
          <w:rFonts w:cs="Arial"/>
          <w:szCs w:val="22"/>
        </w:rPr>
      </w:pPr>
    </w:p>
    <w:p w14:paraId="22D269DB" w14:textId="77777777" w:rsidR="00F965F4" w:rsidRDefault="00F965F4" w:rsidP="00074298">
      <w:pPr>
        <w:pStyle w:val="11"/>
        <w:numPr>
          <w:ilvl w:val="0"/>
          <w:numId w:val="29"/>
        </w:numPr>
        <w:ind w:left="567" w:hanging="567"/>
        <w:rPr>
          <w:b/>
          <w:bCs/>
        </w:rPr>
      </w:pPr>
      <w:r>
        <w:rPr>
          <w:color w:val="000000"/>
        </w:rPr>
        <w:t xml:space="preserve">Pedestrian/Vehicular Warning signs, speed bumps, mirrors/other measures must be installed at the exit of the basement carpark, where the driveway meets the footpath, to improve driver awareness of pedestrians and enhance pedestrian safety.  Warning signage must be provided near the exit ramp/adjacent to the building at the front property alignment from the parking area to warn motorists of pedestrian movement along the street. </w:t>
      </w:r>
      <w:bookmarkStart w:id="89" w:name="_Toc359318848"/>
      <w:bookmarkStart w:id="90" w:name="_Toc359321710"/>
      <w:bookmarkStart w:id="91" w:name="_Toc359321819"/>
      <w:bookmarkStart w:id="92" w:name="_Toc359321927"/>
      <w:bookmarkStart w:id="93" w:name="_Toc359322143"/>
      <w:bookmarkStart w:id="94" w:name="_Toc360187690"/>
      <w:bookmarkStart w:id="95" w:name="_Toc361920692"/>
      <w:bookmarkStart w:id="96" w:name="_Toc361920803"/>
      <w:r>
        <w:rPr>
          <w:color w:val="000000"/>
        </w:rPr>
        <w:t xml:space="preserve"> </w:t>
      </w:r>
    </w:p>
    <w:p w14:paraId="7D33BF29" w14:textId="77777777" w:rsidR="00F965F4" w:rsidRDefault="00F965F4" w:rsidP="00F965F4">
      <w:pPr>
        <w:outlineLvl w:val="2"/>
        <w:rPr>
          <w:rFonts w:cs="Arial"/>
          <w:b/>
          <w:bCs/>
          <w:szCs w:val="22"/>
        </w:rPr>
      </w:pPr>
    </w:p>
    <w:p w14:paraId="45398879" w14:textId="330D56DD" w:rsidR="00F965F4" w:rsidRDefault="00F965F4" w:rsidP="00F965F4">
      <w:pPr>
        <w:ind w:left="567"/>
        <w:outlineLvl w:val="2"/>
        <w:rPr>
          <w:rFonts w:cs="Arial"/>
          <w:b/>
          <w:bCs/>
          <w:szCs w:val="22"/>
        </w:rPr>
      </w:pPr>
      <w:bookmarkStart w:id="97" w:name="_Toc387754680"/>
      <w:r>
        <w:rPr>
          <w:rFonts w:cs="Arial"/>
          <w:b/>
          <w:bCs/>
          <w:szCs w:val="22"/>
        </w:rPr>
        <w:t>Earthworks</w:t>
      </w:r>
      <w:bookmarkEnd w:id="89"/>
      <w:bookmarkEnd w:id="90"/>
      <w:bookmarkEnd w:id="91"/>
      <w:bookmarkEnd w:id="92"/>
      <w:bookmarkEnd w:id="93"/>
      <w:bookmarkEnd w:id="94"/>
      <w:bookmarkEnd w:id="95"/>
      <w:bookmarkEnd w:id="96"/>
      <w:bookmarkEnd w:id="97"/>
    </w:p>
    <w:p w14:paraId="4B35581B" w14:textId="77777777" w:rsidR="00F965F4" w:rsidRDefault="00F965F4" w:rsidP="00F965F4">
      <w:pPr>
        <w:rPr>
          <w:rFonts w:cs="Arial"/>
          <w:color w:val="000000"/>
          <w:szCs w:val="22"/>
        </w:rPr>
      </w:pPr>
    </w:p>
    <w:p w14:paraId="5881EEF4" w14:textId="77777777" w:rsidR="00F965F4" w:rsidRDefault="00F965F4" w:rsidP="00074298">
      <w:pPr>
        <w:pStyle w:val="11"/>
        <w:numPr>
          <w:ilvl w:val="0"/>
          <w:numId w:val="29"/>
        </w:numPr>
        <w:ind w:left="567" w:hanging="567"/>
      </w:pPr>
      <w:r>
        <w:t xml:space="preserve">All earthworks shall be undertaken in accordance with the provisions of </w:t>
      </w:r>
      <w:r>
        <w:rPr>
          <w:i/>
        </w:rPr>
        <w:t>AS 3798 – Guidelines on earthworks for commercial and residential developments</w:t>
      </w:r>
      <w:r>
        <w:t xml:space="preserve">, with geotechnical testing undertaken in accordance with Section 8 of the Standard, and to a minimum of ‘Level 1’.  Test results as required by AS 3798, and a certificate of quality and uniformity of fill, shall be provided by a RPEQ and submitted to Council upon practical completion of works.  </w:t>
      </w:r>
    </w:p>
    <w:p w14:paraId="0BB8FD1B" w14:textId="77777777" w:rsidR="00F965F4" w:rsidRDefault="00F965F4" w:rsidP="00F965F4">
      <w:pPr>
        <w:rPr>
          <w:rFonts w:cs="Arial"/>
          <w:szCs w:val="22"/>
        </w:rPr>
      </w:pPr>
    </w:p>
    <w:p w14:paraId="52D2AEF4" w14:textId="77777777" w:rsidR="00F965F4" w:rsidRDefault="00F965F4" w:rsidP="00F965F4">
      <w:pPr>
        <w:ind w:left="567"/>
        <w:outlineLvl w:val="2"/>
        <w:rPr>
          <w:rFonts w:cs="Arial"/>
          <w:b/>
          <w:bCs/>
          <w:szCs w:val="22"/>
        </w:rPr>
      </w:pPr>
      <w:bookmarkStart w:id="98" w:name="_Toc402523734"/>
      <w:r>
        <w:rPr>
          <w:rFonts w:cs="Arial"/>
          <w:b/>
          <w:bCs/>
          <w:szCs w:val="22"/>
        </w:rPr>
        <w:t>Erosion and Sediment Control</w:t>
      </w:r>
      <w:bookmarkEnd w:id="98"/>
      <w:r>
        <w:rPr>
          <w:rFonts w:cs="Arial"/>
          <w:b/>
          <w:bCs/>
          <w:szCs w:val="22"/>
        </w:rPr>
        <w:t xml:space="preserve"> </w:t>
      </w:r>
    </w:p>
    <w:p w14:paraId="778E9EAE" w14:textId="77777777" w:rsidR="00F965F4" w:rsidRDefault="00F965F4" w:rsidP="00F965F4">
      <w:pPr>
        <w:rPr>
          <w:rFonts w:cs="Arial"/>
          <w:szCs w:val="22"/>
          <w:lang w:eastAsia="en-US"/>
        </w:rPr>
      </w:pPr>
    </w:p>
    <w:p w14:paraId="356A6376" w14:textId="77777777" w:rsidR="00F965F4" w:rsidRDefault="00F965F4" w:rsidP="00074298">
      <w:pPr>
        <w:pStyle w:val="11"/>
        <w:numPr>
          <w:ilvl w:val="0"/>
          <w:numId w:val="29"/>
        </w:numPr>
        <w:ind w:left="567" w:hanging="567"/>
      </w:pPr>
      <w:r>
        <w:t>Information is to be provided and all works undertaken in accordance with the requirements of the Planning Scheme Policy for Development Works (SC6.14.6.5 Protecting waters from the impacts of developments) at all times from when land disturbing activities commence until such time as the site is effectively stabilised. This is to include, but is not limited to, the following specific actions in accordance with the Planning Scheme Policy for Development Works:</w:t>
      </w:r>
    </w:p>
    <w:p w14:paraId="4D766F39" w14:textId="77777777" w:rsidR="00F965F4" w:rsidRDefault="00F965F4" w:rsidP="00074298">
      <w:pPr>
        <w:numPr>
          <w:ilvl w:val="1"/>
          <w:numId w:val="36"/>
        </w:numPr>
        <w:rPr>
          <w:rFonts w:cs="Arial"/>
          <w:szCs w:val="22"/>
        </w:rPr>
      </w:pPr>
      <w:r>
        <w:rPr>
          <w:rFonts w:cs="Arial"/>
          <w:szCs w:val="22"/>
        </w:rPr>
        <w:t xml:space="preserve">Inspection certification is to be provided in the form and frequency specified in the Development Works Planning Scheme Policy.  </w:t>
      </w:r>
    </w:p>
    <w:p w14:paraId="5395B0E0" w14:textId="77777777" w:rsidR="00F965F4" w:rsidRDefault="00F965F4" w:rsidP="00074298">
      <w:pPr>
        <w:numPr>
          <w:ilvl w:val="1"/>
          <w:numId w:val="36"/>
        </w:numPr>
        <w:rPr>
          <w:rFonts w:cs="Arial"/>
          <w:szCs w:val="22"/>
        </w:rPr>
      </w:pPr>
      <w:r>
        <w:rPr>
          <w:rFonts w:cs="Arial"/>
          <w:szCs w:val="22"/>
        </w:rPr>
        <w:t xml:space="preserve">All actions are to be taken to avoid and minimise releases, flow and discharges of prescribed water contaminants in accordance with the requirements of the Development Works Planning Scheme Policy.  </w:t>
      </w:r>
    </w:p>
    <w:p w14:paraId="30AF730B" w14:textId="77777777" w:rsidR="00F965F4" w:rsidRDefault="00F965F4" w:rsidP="00074298">
      <w:pPr>
        <w:numPr>
          <w:ilvl w:val="1"/>
          <w:numId w:val="36"/>
        </w:numPr>
        <w:rPr>
          <w:rFonts w:cs="Arial"/>
          <w:szCs w:val="22"/>
        </w:rPr>
      </w:pPr>
      <w:r>
        <w:rPr>
          <w:rFonts w:cs="Arial"/>
          <w:szCs w:val="22"/>
        </w:rPr>
        <w:t>Prior to the commencement of use, the site is required to be effectively stabilised;</w:t>
      </w:r>
      <w:r>
        <w:rPr>
          <w:rFonts w:cs="Arial"/>
        </w:rPr>
        <w:t xml:space="preserve"> </w:t>
      </w:r>
      <w:r>
        <w:rPr>
          <w:rFonts w:cs="Arial"/>
          <w:b/>
          <w:bCs/>
        </w:rPr>
        <w:t>and</w:t>
      </w:r>
    </w:p>
    <w:p w14:paraId="7D88C14D" w14:textId="65F60E05" w:rsidR="002422C3" w:rsidRPr="00F959D7" w:rsidRDefault="00F965F4" w:rsidP="00074298">
      <w:pPr>
        <w:numPr>
          <w:ilvl w:val="1"/>
          <w:numId w:val="36"/>
        </w:numPr>
        <w:rPr>
          <w:rFonts w:cs="Arial"/>
          <w:szCs w:val="22"/>
        </w:rPr>
      </w:pPr>
      <w:r>
        <w:rPr>
          <w:rFonts w:cs="Arial"/>
        </w:rPr>
        <w:t xml:space="preserve">The actions required by the Planning Scheme Policy for Development Works are to be augmented as necessary to ensure the measures implemented comply with the construction phase - stormwater management design objectives of the State Planning Policy 2017 (Appendix 2 Table A).  </w:t>
      </w:r>
      <w:bookmarkStart w:id="99" w:name="_Toc402523735"/>
    </w:p>
    <w:p w14:paraId="1EA1C3AF" w14:textId="77777777" w:rsidR="002422C3" w:rsidRDefault="002422C3" w:rsidP="00F959D7">
      <w:pPr>
        <w:outlineLvl w:val="2"/>
        <w:rPr>
          <w:rFonts w:cs="Arial"/>
          <w:b/>
          <w:bCs/>
          <w:szCs w:val="22"/>
        </w:rPr>
      </w:pPr>
    </w:p>
    <w:p w14:paraId="23FD9C28" w14:textId="7F5350B6" w:rsidR="00F965F4" w:rsidRDefault="00F965F4" w:rsidP="00F965F4">
      <w:pPr>
        <w:ind w:left="567"/>
        <w:outlineLvl w:val="2"/>
        <w:rPr>
          <w:rFonts w:cs="Arial"/>
          <w:b/>
          <w:bCs/>
          <w:szCs w:val="22"/>
        </w:rPr>
      </w:pPr>
      <w:r>
        <w:rPr>
          <w:rFonts w:cs="Arial"/>
          <w:b/>
          <w:bCs/>
          <w:szCs w:val="22"/>
        </w:rPr>
        <w:t>Stormwater Drainage</w:t>
      </w:r>
      <w:bookmarkEnd w:id="99"/>
    </w:p>
    <w:p w14:paraId="535C6EF1" w14:textId="77777777" w:rsidR="00F965F4" w:rsidRDefault="00F965F4" w:rsidP="00F965F4">
      <w:pPr>
        <w:rPr>
          <w:rFonts w:cs="Arial"/>
          <w:szCs w:val="22"/>
          <w:lang w:eastAsia="en-US"/>
        </w:rPr>
      </w:pPr>
    </w:p>
    <w:p w14:paraId="1C18E72C" w14:textId="77777777" w:rsidR="00F965F4" w:rsidRDefault="00F965F4" w:rsidP="00074298">
      <w:pPr>
        <w:pStyle w:val="11"/>
        <w:numPr>
          <w:ilvl w:val="0"/>
          <w:numId w:val="29"/>
        </w:numPr>
        <w:ind w:left="567" w:hanging="567"/>
      </w:pPr>
      <w:r>
        <w:t xml:space="preserve">Appropriate scour protection must be provided at the outlet of all stormwater pipes including temporary outlets.  </w:t>
      </w:r>
    </w:p>
    <w:p w14:paraId="026951BD" w14:textId="77777777" w:rsidR="00F965F4" w:rsidRDefault="00F965F4" w:rsidP="00F965F4">
      <w:pPr>
        <w:adjustRightInd w:val="0"/>
        <w:rPr>
          <w:rFonts w:cs="Arial"/>
          <w:szCs w:val="22"/>
        </w:rPr>
      </w:pPr>
    </w:p>
    <w:p w14:paraId="1D716F78" w14:textId="77777777" w:rsidR="00F965F4" w:rsidRDefault="00F965F4" w:rsidP="00074298">
      <w:pPr>
        <w:pStyle w:val="11"/>
        <w:numPr>
          <w:ilvl w:val="0"/>
          <w:numId w:val="29"/>
        </w:numPr>
        <w:ind w:left="567" w:hanging="567"/>
      </w:pPr>
      <w:r>
        <w:t xml:space="preserve">Works associated with this permit must not adversely impact on the existing drainage conditions on other properties (eg by blocking or interfering with natural overland flows).  </w:t>
      </w:r>
    </w:p>
    <w:p w14:paraId="23CDFDBA" w14:textId="77777777" w:rsidR="00F965F4" w:rsidRDefault="00F965F4" w:rsidP="00F965F4">
      <w:pPr>
        <w:rPr>
          <w:rFonts w:cs="Arial"/>
          <w:szCs w:val="22"/>
        </w:rPr>
      </w:pPr>
    </w:p>
    <w:p w14:paraId="308B9CB7" w14:textId="77777777" w:rsidR="00F965F4" w:rsidRDefault="00F965F4" w:rsidP="00074298">
      <w:pPr>
        <w:pStyle w:val="11"/>
        <w:numPr>
          <w:ilvl w:val="0"/>
          <w:numId w:val="29"/>
        </w:numPr>
        <w:ind w:left="567" w:hanging="567"/>
      </w:pPr>
      <w:r>
        <w:lastRenderedPageBreak/>
        <w:t xml:space="preserve">Construction of all internal stormwater drainage works must comply with the relevant section/s of Australian Standard AS 3500 – Plumbing and Drainage (Part 3 – Stormwater drainage).  </w:t>
      </w:r>
    </w:p>
    <w:p w14:paraId="7707F1A4" w14:textId="77777777" w:rsidR="00F965F4" w:rsidRDefault="00F965F4" w:rsidP="00F965F4">
      <w:pPr>
        <w:pStyle w:val="1"/>
        <w:tabs>
          <w:tab w:val="left" w:pos="720"/>
        </w:tabs>
        <w:jc w:val="both"/>
      </w:pPr>
    </w:p>
    <w:p w14:paraId="06CE26A1" w14:textId="77777777" w:rsidR="00F965F4" w:rsidRDefault="00F965F4" w:rsidP="00F965F4">
      <w:pPr>
        <w:pStyle w:val="Style7"/>
      </w:pPr>
      <w:r>
        <w:t>Acid Sulfate Soils</w:t>
      </w:r>
    </w:p>
    <w:p w14:paraId="2DACA051" w14:textId="77777777" w:rsidR="00F965F4" w:rsidRDefault="00F965F4" w:rsidP="00F965F4">
      <w:pPr>
        <w:tabs>
          <w:tab w:val="left" w:pos="567"/>
        </w:tabs>
        <w:autoSpaceDE w:val="0"/>
        <w:autoSpaceDN w:val="0"/>
        <w:adjustRightInd w:val="0"/>
        <w:rPr>
          <w:szCs w:val="22"/>
        </w:rPr>
      </w:pPr>
    </w:p>
    <w:p w14:paraId="528F153F" w14:textId="77777777" w:rsidR="00F965F4" w:rsidRDefault="00F965F4" w:rsidP="00074298">
      <w:pPr>
        <w:pStyle w:val="11"/>
        <w:numPr>
          <w:ilvl w:val="0"/>
          <w:numId w:val="29"/>
        </w:numPr>
        <w:ind w:left="567" w:hanging="567"/>
        <w:rPr>
          <w:szCs w:val="20"/>
        </w:rPr>
      </w:pPr>
      <w:r>
        <w:t xml:space="preserve">All works must be carried out in accordance with the acid sulfate soil and groundwater dewatering management plan listed in this development approval.  </w:t>
      </w:r>
    </w:p>
    <w:p w14:paraId="562EF936" w14:textId="77777777" w:rsidR="00F965F4" w:rsidRDefault="00F965F4" w:rsidP="00F965F4"/>
    <w:p w14:paraId="631B78F6" w14:textId="77777777" w:rsidR="00F965F4" w:rsidRDefault="00F965F4" w:rsidP="00074298">
      <w:pPr>
        <w:pStyle w:val="11"/>
        <w:numPr>
          <w:ilvl w:val="0"/>
          <w:numId w:val="29"/>
        </w:numPr>
        <w:ind w:left="567" w:hanging="567"/>
      </w:pPr>
      <w:r>
        <w:t>All waters, including stormwater runoff, groundwater seepage and leachate from acid sulfate soils must achieve the following quality prior to release from the site:</w:t>
      </w:r>
    </w:p>
    <w:p w14:paraId="2FFC683C" w14:textId="77777777" w:rsidR="00F965F4" w:rsidRDefault="00F965F4" w:rsidP="00074298">
      <w:pPr>
        <w:numPr>
          <w:ilvl w:val="2"/>
          <w:numId w:val="25"/>
        </w:numPr>
        <w:autoSpaceDE w:val="0"/>
        <w:autoSpaceDN w:val="0"/>
        <w:adjustRightInd w:val="0"/>
        <w:rPr>
          <w:rFonts w:cs="Arial"/>
          <w:szCs w:val="22"/>
        </w:rPr>
      </w:pPr>
      <w:r>
        <w:rPr>
          <w:rFonts w:cs="Arial"/>
          <w:szCs w:val="22"/>
        </w:rPr>
        <w:t xml:space="preserve">a pH range of 6.5-8.5 pH units.  </w:t>
      </w:r>
    </w:p>
    <w:p w14:paraId="01378ABC" w14:textId="77777777" w:rsidR="00F965F4" w:rsidRDefault="00F965F4" w:rsidP="00074298">
      <w:pPr>
        <w:numPr>
          <w:ilvl w:val="2"/>
          <w:numId w:val="25"/>
        </w:numPr>
        <w:autoSpaceDE w:val="0"/>
        <w:autoSpaceDN w:val="0"/>
        <w:adjustRightInd w:val="0"/>
        <w:rPr>
          <w:rFonts w:cs="Arial"/>
          <w:szCs w:val="22"/>
        </w:rPr>
      </w:pPr>
      <w:r>
        <w:rPr>
          <w:rFonts w:cs="Arial"/>
          <w:szCs w:val="22"/>
        </w:rPr>
        <w:t xml:space="preserve">50mg/L maximum total suspended solids concentration.  </w:t>
      </w:r>
    </w:p>
    <w:p w14:paraId="4AD205F8" w14:textId="77777777" w:rsidR="00F965F4" w:rsidRDefault="00F965F4" w:rsidP="00074298">
      <w:pPr>
        <w:numPr>
          <w:ilvl w:val="2"/>
          <w:numId w:val="25"/>
        </w:numPr>
        <w:autoSpaceDE w:val="0"/>
        <w:autoSpaceDN w:val="0"/>
        <w:adjustRightInd w:val="0"/>
        <w:rPr>
          <w:rFonts w:cs="Arial"/>
          <w:szCs w:val="22"/>
        </w:rPr>
      </w:pPr>
      <w:r>
        <w:rPr>
          <w:rFonts w:cs="Arial"/>
          <w:szCs w:val="22"/>
        </w:rPr>
        <w:t xml:space="preserve">0.3mg/L maximum total iron concentration.  </w:t>
      </w:r>
    </w:p>
    <w:p w14:paraId="763BD35C" w14:textId="77777777" w:rsidR="00F965F4" w:rsidRDefault="00F965F4" w:rsidP="00074298">
      <w:pPr>
        <w:numPr>
          <w:ilvl w:val="2"/>
          <w:numId w:val="25"/>
        </w:numPr>
        <w:autoSpaceDE w:val="0"/>
        <w:autoSpaceDN w:val="0"/>
        <w:adjustRightInd w:val="0"/>
        <w:rPr>
          <w:rFonts w:cs="Arial"/>
          <w:szCs w:val="22"/>
        </w:rPr>
      </w:pPr>
      <w:r>
        <w:rPr>
          <w:rFonts w:cs="Arial"/>
          <w:szCs w:val="22"/>
        </w:rPr>
        <w:t xml:space="preserve">0.2mg/L maximum total aluminium concentration.  </w:t>
      </w:r>
    </w:p>
    <w:p w14:paraId="702854AC" w14:textId="77777777" w:rsidR="00F965F4" w:rsidRDefault="00F965F4" w:rsidP="00074298">
      <w:pPr>
        <w:numPr>
          <w:ilvl w:val="2"/>
          <w:numId w:val="25"/>
        </w:numPr>
        <w:autoSpaceDE w:val="0"/>
        <w:autoSpaceDN w:val="0"/>
        <w:adjustRightInd w:val="0"/>
        <w:rPr>
          <w:rFonts w:cs="Arial"/>
          <w:szCs w:val="22"/>
        </w:rPr>
      </w:pPr>
      <w:r>
        <w:rPr>
          <w:rFonts w:cs="Arial"/>
          <w:szCs w:val="22"/>
        </w:rPr>
        <w:t xml:space="preserve">no visible plume at either the point of release from the site or within receiving waters.  </w:t>
      </w:r>
    </w:p>
    <w:p w14:paraId="56454C2F" w14:textId="77777777" w:rsidR="00F965F4" w:rsidRDefault="00F965F4" w:rsidP="00F965F4">
      <w:pPr>
        <w:rPr>
          <w:szCs w:val="22"/>
          <w:lang w:eastAsia="en-US"/>
        </w:rPr>
      </w:pPr>
    </w:p>
    <w:p w14:paraId="3B889119" w14:textId="77777777" w:rsidR="00F965F4" w:rsidRDefault="00F965F4" w:rsidP="00074298">
      <w:pPr>
        <w:pStyle w:val="11"/>
        <w:numPr>
          <w:ilvl w:val="0"/>
          <w:numId w:val="29"/>
        </w:numPr>
        <w:ind w:left="567" w:hanging="567"/>
        <w:rPr>
          <w:iCs/>
          <w:u w:val="single"/>
        </w:rPr>
      </w:pPr>
      <w:r>
        <w:t xml:space="preserve">The basement must be designed and constructed as a water excluding structure in accordance with </w:t>
      </w:r>
      <w:r>
        <w:rPr>
          <w:i/>
          <w:iCs/>
        </w:rPr>
        <w:t xml:space="preserve">AS 3735 - Concrete Structures for Retaining Liquids”.  </w:t>
      </w:r>
      <w:r>
        <w:t xml:space="preserve">It must be able to withstand hydrostatic pressure, be completely sealed (including control joints) to prevent groundwater infiltration and contain no permanent or post-construction sub-surface drainage.  </w:t>
      </w:r>
    </w:p>
    <w:p w14:paraId="013346C0" w14:textId="77777777" w:rsidR="00F965F4" w:rsidRDefault="00F965F4" w:rsidP="00F965F4">
      <w:pPr>
        <w:adjustRightInd w:val="0"/>
        <w:rPr>
          <w:rFonts w:cs="Arial"/>
          <w:szCs w:val="22"/>
          <w:lang w:eastAsia="en-US"/>
        </w:rPr>
      </w:pPr>
      <w:bookmarkStart w:id="100" w:name="_Hlk76376084"/>
    </w:p>
    <w:p w14:paraId="272DDEFC" w14:textId="77777777" w:rsidR="00F965F4" w:rsidRDefault="00F965F4" w:rsidP="00F965F4">
      <w:pPr>
        <w:pStyle w:val="Style7"/>
        <w:rPr>
          <w:rFonts w:cs="Times New Roman"/>
        </w:rPr>
      </w:pPr>
      <w:r>
        <w:t>Monitoring of Subterranean Water Supply (Buddina Community Garden)</w:t>
      </w:r>
    </w:p>
    <w:p w14:paraId="25D03BF9" w14:textId="77777777" w:rsidR="00F965F4" w:rsidRDefault="00F965F4" w:rsidP="00F965F4">
      <w:pPr>
        <w:adjustRightInd w:val="0"/>
        <w:rPr>
          <w:rFonts w:cs="Arial"/>
          <w:szCs w:val="22"/>
        </w:rPr>
      </w:pPr>
    </w:p>
    <w:p w14:paraId="195D12D4" w14:textId="5FA3D6BF" w:rsidR="002422C3" w:rsidRDefault="00F965F4" w:rsidP="00074298">
      <w:pPr>
        <w:pStyle w:val="11"/>
        <w:numPr>
          <w:ilvl w:val="0"/>
          <w:numId w:val="29"/>
        </w:numPr>
        <w:ind w:left="567" w:hanging="567"/>
      </w:pPr>
      <w:r>
        <w:t xml:space="preserve">Water level and quality samples from the Buddina Community Gardens bore (on </w:t>
      </w:r>
      <w:bookmarkStart w:id="101" w:name="_Hlk72318848"/>
      <w:r>
        <w:t xml:space="preserve">Lot 223 CP901704) </w:t>
      </w:r>
      <w:bookmarkEnd w:id="101"/>
      <w:r>
        <w:t xml:space="preserve">must be taken prior to commencing the basement de-watering on the development site.  The taking of these bore water samples (and water level info) must happen every 2 weeks for the duration of the basement de-watering activities and these test results must be provided to Council’s Construction Officer.  Should Council observe any material deterioration in the quality or level of this bore water, the applicant must establish an alternative water supply as soon as practical, but within 5 business days (1 x calendar week).  </w:t>
      </w:r>
    </w:p>
    <w:p w14:paraId="2B72373A" w14:textId="77777777" w:rsidR="002422C3" w:rsidRPr="002422C3" w:rsidRDefault="002422C3" w:rsidP="002422C3">
      <w:pPr>
        <w:adjustRightInd w:val="0"/>
        <w:rPr>
          <w:rFonts w:cs="Arial"/>
          <w:szCs w:val="22"/>
        </w:rPr>
      </w:pPr>
    </w:p>
    <w:p w14:paraId="4F325EA3" w14:textId="3637E51B" w:rsidR="00F965F4" w:rsidRDefault="00F965F4" w:rsidP="004E553F">
      <w:pPr>
        <w:spacing w:after="160" w:line="256" w:lineRule="auto"/>
        <w:ind w:left="284" w:firstLine="283"/>
        <w:jc w:val="left"/>
      </w:pPr>
      <w:r>
        <w:rPr>
          <w:b/>
          <w:bCs/>
        </w:rPr>
        <w:t>Council Notes:</w:t>
      </w:r>
      <w:r>
        <w:t xml:space="preserve"> </w:t>
      </w:r>
    </w:p>
    <w:p w14:paraId="5A65852E" w14:textId="77777777" w:rsidR="00F965F4" w:rsidRDefault="00F965F4" w:rsidP="004E553F">
      <w:pPr>
        <w:numPr>
          <w:ilvl w:val="2"/>
          <w:numId w:val="26"/>
        </w:numPr>
        <w:tabs>
          <w:tab w:val="clear" w:pos="2160"/>
          <w:tab w:val="num" w:pos="1134"/>
        </w:tabs>
        <w:autoSpaceDE w:val="0"/>
        <w:autoSpaceDN w:val="0"/>
        <w:adjustRightInd w:val="0"/>
        <w:ind w:left="1134" w:hanging="567"/>
        <w:rPr>
          <w:rFonts w:cs="Arial"/>
          <w:szCs w:val="22"/>
        </w:rPr>
      </w:pPr>
      <w:r>
        <w:rPr>
          <w:rFonts w:cs="Arial"/>
          <w:szCs w:val="22"/>
        </w:rPr>
        <w:t xml:space="preserve">The above Conditions are based on a Scott Property Group commitment to ensure Buddina Community Gardens bore water will be tested and if required an alternative water supply provided to irrigate their gardens.  </w:t>
      </w:r>
    </w:p>
    <w:p w14:paraId="03B31A1E" w14:textId="77777777" w:rsidR="00F965F4" w:rsidRDefault="00F965F4" w:rsidP="004E553F">
      <w:pPr>
        <w:numPr>
          <w:ilvl w:val="2"/>
          <w:numId w:val="26"/>
        </w:numPr>
        <w:tabs>
          <w:tab w:val="clear" w:pos="2160"/>
          <w:tab w:val="num" w:pos="1134"/>
        </w:tabs>
        <w:autoSpaceDE w:val="0"/>
        <w:autoSpaceDN w:val="0"/>
        <w:adjustRightInd w:val="0"/>
        <w:ind w:left="1134" w:hanging="567"/>
        <w:rPr>
          <w:rFonts w:cs="Arial"/>
          <w:szCs w:val="22"/>
        </w:rPr>
      </w:pPr>
      <w:r>
        <w:rPr>
          <w:rFonts w:cs="Arial"/>
          <w:szCs w:val="22"/>
        </w:rPr>
        <w:t xml:space="preserve">The Secretary of the Buddina Community Garden can apply to Council’s Construction Officer to obtain a copy of these water quality/quantity results.  </w:t>
      </w:r>
    </w:p>
    <w:p w14:paraId="08FDB3AA" w14:textId="77777777" w:rsidR="00F965F4" w:rsidRDefault="00F965F4" w:rsidP="00F965F4">
      <w:pPr>
        <w:pStyle w:val="HEADING0"/>
        <w:ind w:firstLine="0"/>
        <w:jc w:val="both"/>
      </w:pPr>
      <w:bookmarkStart w:id="102" w:name="_Toc359321801"/>
      <w:bookmarkStart w:id="103" w:name="_Toc359322018"/>
      <w:bookmarkStart w:id="104" w:name="_Toc360187779"/>
      <w:bookmarkStart w:id="105" w:name="_Toc361920650"/>
      <w:bookmarkStart w:id="106" w:name="_Toc361920786"/>
      <w:bookmarkStart w:id="107" w:name="_Toc361920897"/>
      <w:bookmarkStart w:id="108" w:name="_Toc469297328"/>
    </w:p>
    <w:bookmarkEnd w:id="100"/>
    <w:p w14:paraId="07E22E2B" w14:textId="06768577" w:rsidR="00F965F4" w:rsidRDefault="00F965F4" w:rsidP="00F965F4">
      <w:pPr>
        <w:pStyle w:val="HEADING0"/>
        <w:jc w:val="both"/>
      </w:pPr>
      <w:r>
        <w:t>Work Hours</w:t>
      </w:r>
      <w:bookmarkEnd w:id="102"/>
      <w:bookmarkEnd w:id="103"/>
      <w:bookmarkEnd w:id="104"/>
      <w:bookmarkEnd w:id="105"/>
      <w:bookmarkEnd w:id="106"/>
      <w:bookmarkEnd w:id="107"/>
      <w:bookmarkEnd w:id="108"/>
    </w:p>
    <w:p w14:paraId="0B11DDF3" w14:textId="77777777" w:rsidR="00F965F4" w:rsidRDefault="00F965F4" w:rsidP="00F965F4">
      <w:pPr>
        <w:pStyle w:val="HEADING0"/>
        <w:ind w:firstLine="0"/>
        <w:jc w:val="both"/>
        <w:rPr>
          <w:i/>
          <w:lang w:val="en-US"/>
        </w:rPr>
      </w:pPr>
    </w:p>
    <w:p w14:paraId="477C5AD7" w14:textId="77777777" w:rsidR="00F965F4" w:rsidRDefault="00F965F4" w:rsidP="00074298">
      <w:pPr>
        <w:pStyle w:val="11"/>
        <w:numPr>
          <w:ilvl w:val="0"/>
          <w:numId w:val="29"/>
        </w:numPr>
        <w:ind w:left="567" w:hanging="567"/>
      </w:pPr>
      <w:r>
        <w:t xml:space="preserve">Construction and earthworks (including the entry and departure of heavy vehicles) must only occur between the hours of 7:00am to 6:00pm Monday to Saturday with no work on Sunday or Public Holidays unless written approval in advance is provided by Council.  </w:t>
      </w:r>
    </w:p>
    <w:p w14:paraId="08B5C05A" w14:textId="77777777" w:rsidR="00F965F4" w:rsidRDefault="00F965F4" w:rsidP="00F965F4"/>
    <w:p w14:paraId="3FA0F2CB" w14:textId="77777777" w:rsidR="00F965F4" w:rsidRDefault="00F965F4" w:rsidP="00074298">
      <w:pPr>
        <w:pStyle w:val="11"/>
        <w:numPr>
          <w:ilvl w:val="0"/>
          <w:numId w:val="29"/>
        </w:numPr>
        <w:ind w:left="567" w:hanging="567"/>
      </w:pPr>
      <w:r>
        <w:t xml:space="preserve">Lighting associated with the construction and earthworks activities, including security lighting, must be designed, sited, installed and tested to comply with Table 3.2 &amp; 3.3 of </w:t>
      </w:r>
      <w:r w:rsidRPr="00AC09CE">
        <w:rPr>
          <w:i/>
        </w:rPr>
        <w:t>AS 4282, Control of the obtrusive effects of outdoor lighting</w:t>
      </w:r>
      <w:r>
        <w:t xml:space="preserve">. </w:t>
      </w:r>
    </w:p>
    <w:p w14:paraId="1C8F3522" w14:textId="77777777" w:rsidR="00F965F4" w:rsidRDefault="00F965F4" w:rsidP="00F965F4"/>
    <w:p w14:paraId="3CF61598" w14:textId="77777777" w:rsidR="00F965F4" w:rsidRDefault="00F965F4" w:rsidP="00F965F4">
      <w:pPr>
        <w:pStyle w:val="HEADING0"/>
        <w:jc w:val="both"/>
      </w:pPr>
      <w:bookmarkStart w:id="109" w:name="_Toc327541952"/>
      <w:bookmarkStart w:id="110" w:name="_Toc359321803"/>
      <w:bookmarkStart w:id="111" w:name="_Toc359322020"/>
      <w:bookmarkStart w:id="112" w:name="_Toc360187781"/>
      <w:bookmarkStart w:id="113" w:name="_Toc361920652"/>
      <w:bookmarkStart w:id="114" w:name="_Toc361920788"/>
      <w:bookmarkStart w:id="115" w:name="_Toc361920899"/>
      <w:bookmarkStart w:id="116" w:name="_Toc469297330"/>
      <w:r>
        <w:t xml:space="preserve">Air </w:t>
      </w:r>
      <w:bookmarkEnd w:id="109"/>
      <w:r>
        <w:t>Emissions</w:t>
      </w:r>
      <w:bookmarkEnd w:id="110"/>
      <w:bookmarkEnd w:id="111"/>
      <w:bookmarkEnd w:id="112"/>
      <w:bookmarkEnd w:id="113"/>
      <w:bookmarkEnd w:id="114"/>
      <w:bookmarkEnd w:id="115"/>
      <w:bookmarkEnd w:id="116"/>
    </w:p>
    <w:p w14:paraId="47A7438E" w14:textId="77777777" w:rsidR="00F965F4" w:rsidRDefault="00F965F4" w:rsidP="00F965F4">
      <w:pPr>
        <w:pStyle w:val="HEADING0"/>
        <w:ind w:firstLine="0"/>
        <w:jc w:val="both"/>
      </w:pPr>
    </w:p>
    <w:p w14:paraId="76D78888" w14:textId="77777777" w:rsidR="00F965F4" w:rsidRDefault="00F965F4" w:rsidP="00074298">
      <w:pPr>
        <w:pStyle w:val="11"/>
        <w:numPr>
          <w:ilvl w:val="0"/>
          <w:numId w:val="29"/>
        </w:numPr>
        <w:ind w:left="567" w:hanging="567"/>
      </w:pPr>
      <w:r>
        <w:rPr>
          <w:lang w:val="en-US"/>
        </w:rPr>
        <w:t xml:space="preserve">Visible emissions of dust must not occur beyond the boundaries of the subject site Monday to Sunday.  </w:t>
      </w:r>
    </w:p>
    <w:p w14:paraId="459DC377" w14:textId="77777777" w:rsidR="00F965F4" w:rsidRDefault="00F965F4" w:rsidP="00F965F4">
      <w:pPr>
        <w:pStyle w:val="1"/>
        <w:tabs>
          <w:tab w:val="left" w:pos="720"/>
        </w:tabs>
        <w:ind w:left="0" w:firstLine="0"/>
        <w:jc w:val="both"/>
      </w:pPr>
    </w:p>
    <w:p w14:paraId="50608206" w14:textId="77777777" w:rsidR="00F965F4" w:rsidRDefault="00F965F4" w:rsidP="00074298">
      <w:pPr>
        <w:pStyle w:val="11"/>
        <w:numPr>
          <w:ilvl w:val="0"/>
          <w:numId w:val="29"/>
        </w:numPr>
        <w:ind w:left="567" w:hanging="567"/>
      </w:pPr>
      <w:r>
        <w:rPr>
          <w:color w:val="000000"/>
        </w:rPr>
        <w:t xml:space="preserve">A perceptible odour associated with </w:t>
      </w:r>
      <w:r>
        <w:rPr>
          <w:i/>
        </w:rPr>
        <w:t xml:space="preserve">basement dewatering </w:t>
      </w:r>
      <w:r>
        <w:t xml:space="preserve">must not </w:t>
      </w:r>
      <w:r>
        <w:rPr>
          <w:color w:val="000000"/>
        </w:rPr>
        <w:t>be evident</w:t>
      </w:r>
      <w:r>
        <w:rPr>
          <w:color w:val="000000"/>
          <w:lang w:val="en-US"/>
        </w:rPr>
        <w:t xml:space="preserve"> beyond the boundaries of the subject site Monday to Sunday</w:t>
      </w:r>
      <w:r>
        <w:rPr>
          <w:lang w:val="en-US"/>
        </w:rPr>
        <w:t xml:space="preserve">.  </w:t>
      </w:r>
    </w:p>
    <w:p w14:paraId="2168F932" w14:textId="77777777" w:rsidR="00F965F4" w:rsidRDefault="00F965F4" w:rsidP="00F965F4">
      <w:pPr>
        <w:pStyle w:val="1"/>
        <w:tabs>
          <w:tab w:val="left" w:pos="720"/>
        </w:tabs>
        <w:ind w:left="0" w:firstLine="0"/>
        <w:jc w:val="both"/>
      </w:pPr>
    </w:p>
    <w:p w14:paraId="532CC4E9" w14:textId="77777777" w:rsidR="00F965F4" w:rsidRDefault="00F965F4" w:rsidP="00F965F4">
      <w:pPr>
        <w:pStyle w:val="HEADING0"/>
        <w:jc w:val="both"/>
      </w:pPr>
      <w:bookmarkStart w:id="117" w:name="_Toc359321804"/>
      <w:bookmarkStart w:id="118" w:name="_Toc359322021"/>
      <w:bookmarkStart w:id="119" w:name="_Toc360187782"/>
      <w:bookmarkStart w:id="120" w:name="_Toc361920653"/>
      <w:bookmarkStart w:id="121" w:name="_Toc361920789"/>
      <w:bookmarkStart w:id="122" w:name="_Toc361920900"/>
      <w:bookmarkStart w:id="123" w:name="_Toc469297331"/>
      <w:bookmarkStart w:id="124" w:name="_Toc327541954"/>
      <w:r>
        <w:t>Construction Materials, Equipment and Waste</w:t>
      </w:r>
      <w:bookmarkEnd w:id="117"/>
      <w:bookmarkEnd w:id="118"/>
      <w:bookmarkEnd w:id="119"/>
      <w:bookmarkEnd w:id="120"/>
      <w:bookmarkEnd w:id="121"/>
      <w:bookmarkEnd w:id="122"/>
      <w:bookmarkEnd w:id="123"/>
      <w:bookmarkEnd w:id="124"/>
    </w:p>
    <w:p w14:paraId="778AFF00" w14:textId="77777777" w:rsidR="00F965F4" w:rsidRDefault="00F965F4" w:rsidP="00F965F4">
      <w:pPr>
        <w:pStyle w:val="HEADING0"/>
        <w:ind w:firstLine="0"/>
        <w:jc w:val="both"/>
      </w:pPr>
    </w:p>
    <w:p w14:paraId="2A659378" w14:textId="77777777" w:rsidR="00F965F4" w:rsidRDefault="00F965F4" w:rsidP="00074298">
      <w:pPr>
        <w:pStyle w:val="11"/>
        <w:numPr>
          <w:ilvl w:val="0"/>
          <w:numId w:val="29"/>
        </w:numPr>
        <w:ind w:left="567" w:hanging="567"/>
      </w:pPr>
      <w:r>
        <w:t xml:space="preserve">Construction materials, equipment and waste (waste* as defined by the </w:t>
      </w:r>
      <w:r>
        <w:rPr>
          <w:i/>
        </w:rPr>
        <w:t xml:space="preserve">Environmental Protection Act 1994) </w:t>
      </w:r>
      <w:r>
        <w:t>resulting from the approved works must be retained wholly within the subject works alignment in accordance with the approved plans</w:t>
      </w:r>
      <w:r>
        <w:rPr>
          <w:i/>
        </w:rPr>
        <w:t>.</w:t>
      </w:r>
      <w:r>
        <w:t xml:space="preserve">  Any waste generated as a result of these works, must be disposed only to a facility for waste disposal approved in accordance with the </w:t>
      </w:r>
      <w:r>
        <w:rPr>
          <w:i/>
        </w:rPr>
        <w:t xml:space="preserve">Environmental Protection Act 1994, </w:t>
      </w:r>
      <w:r>
        <w:t xml:space="preserve">for example a Council operated Waste Facility.  </w:t>
      </w:r>
    </w:p>
    <w:p w14:paraId="64B9AE16" w14:textId="77777777" w:rsidR="00F965F4" w:rsidRDefault="00F965F4" w:rsidP="00F965F4">
      <w:pPr>
        <w:pStyle w:val="1"/>
        <w:tabs>
          <w:tab w:val="left" w:pos="720"/>
        </w:tabs>
        <w:ind w:firstLine="0"/>
        <w:jc w:val="both"/>
        <w:rPr>
          <w:i/>
        </w:rPr>
      </w:pPr>
    </w:p>
    <w:p w14:paraId="15D72ECC" w14:textId="64993601" w:rsidR="00F965F4" w:rsidRDefault="00F965F4" w:rsidP="00F965F4">
      <w:pPr>
        <w:pStyle w:val="1"/>
        <w:tabs>
          <w:tab w:val="left" w:pos="720"/>
        </w:tabs>
        <w:ind w:firstLine="0"/>
        <w:jc w:val="both"/>
        <w:rPr>
          <w:i/>
        </w:rPr>
      </w:pPr>
      <w:r>
        <w:rPr>
          <w:i/>
        </w:rPr>
        <w:t>* (Refer to Advisory Note)</w:t>
      </w:r>
    </w:p>
    <w:p w14:paraId="7B2B1788" w14:textId="77777777" w:rsidR="00F965F4" w:rsidRDefault="00F965F4" w:rsidP="00F965F4">
      <w:pPr>
        <w:pStyle w:val="1"/>
        <w:tabs>
          <w:tab w:val="left" w:pos="720"/>
        </w:tabs>
        <w:jc w:val="both"/>
      </w:pPr>
    </w:p>
    <w:p w14:paraId="3F32AAED" w14:textId="2ACB912B" w:rsidR="00F965F4" w:rsidRDefault="00F965F4" w:rsidP="002422C3">
      <w:pPr>
        <w:jc w:val="left"/>
        <w:rPr>
          <w:rFonts w:cs="Arial"/>
          <w:b/>
          <w:bCs/>
          <w:kern w:val="32"/>
          <w:szCs w:val="22"/>
        </w:rPr>
      </w:pPr>
      <w:bookmarkStart w:id="125" w:name="_Toc359318856"/>
      <w:bookmarkStart w:id="126" w:name="_Toc359321603"/>
      <w:bookmarkStart w:id="127" w:name="_Toc359321662"/>
      <w:bookmarkStart w:id="128" w:name="_Toc359321718"/>
      <w:bookmarkStart w:id="129" w:name="_Toc359321827"/>
      <w:bookmarkStart w:id="130" w:name="_Toc359321935"/>
      <w:bookmarkStart w:id="131" w:name="_Toc359322151"/>
      <w:bookmarkStart w:id="132" w:name="_Toc360187699"/>
      <w:bookmarkStart w:id="133" w:name="_Toc361920662"/>
      <w:bookmarkStart w:id="134" w:name="_Toc361920701"/>
      <w:bookmarkStart w:id="135" w:name="_Toc361920812"/>
      <w:bookmarkStart w:id="136" w:name="_Toc387754688"/>
      <w:bookmarkStart w:id="137" w:name="_Toc332010662"/>
      <w:r>
        <w:rPr>
          <w:rFonts w:cs="Arial"/>
          <w:b/>
          <w:bCs/>
          <w:kern w:val="32"/>
          <w:szCs w:val="22"/>
        </w:rPr>
        <w:t>FOLLOWING CONSTRUCTION</w:t>
      </w:r>
      <w:bookmarkEnd w:id="125"/>
      <w:bookmarkEnd w:id="126"/>
      <w:bookmarkEnd w:id="127"/>
      <w:bookmarkEnd w:id="128"/>
      <w:bookmarkEnd w:id="129"/>
      <w:bookmarkEnd w:id="130"/>
      <w:bookmarkEnd w:id="131"/>
      <w:bookmarkEnd w:id="132"/>
      <w:bookmarkEnd w:id="133"/>
      <w:bookmarkEnd w:id="134"/>
      <w:bookmarkEnd w:id="135"/>
      <w:bookmarkEnd w:id="136"/>
    </w:p>
    <w:p w14:paraId="15D41CF1" w14:textId="77777777" w:rsidR="00F965F4" w:rsidRDefault="00F965F4" w:rsidP="00F965F4">
      <w:pPr>
        <w:outlineLvl w:val="2"/>
        <w:rPr>
          <w:rFonts w:cs="Arial"/>
          <w:bCs/>
          <w:szCs w:val="22"/>
        </w:rPr>
      </w:pPr>
      <w:bookmarkStart w:id="138" w:name="_Toc359318857"/>
      <w:bookmarkStart w:id="139" w:name="_Toc359321719"/>
      <w:bookmarkStart w:id="140" w:name="_Toc359321828"/>
      <w:bookmarkStart w:id="141" w:name="_Toc359321936"/>
      <w:bookmarkStart w:id="142" w:name="_Toc359322152"/>
      <w:bookmarkStart w:id="143" w:name="_Toc360187700"/>
      <w:bookmarkStart w:id="144" w:name="_Toc361920702"/>
      <w:bookmarkStart w:id="145" w:name="_Toc361920813"/>
    </w:p>
    <w:p w14:paraId="05671109" w14:textId="77777777" w:rsidR="00F965F4" w:rsidRDefault="00F965F4" w:rsidP="00F965F4">
      <w:pPr>
        <w:ind w:left="567"/>
        <w:outlineLvl w:val="2"/>
        <w:rPr>
          <w:rFonts w:cs="Arial"/>
          <w:b/>
          <w:bCs/>
          <w:szCs w:val="22"/>
        </w:rPr>
      </w:pPr>
      <w:bookmarkStart w:id="146" w:name="_Toc387754689"/>
      <w:r>
        <w:rPr>
          <w:rFonts w:cs="Arial"/>
          <w:b/>
          <w:bCs/>
          <w:szCs w:val="22"/>
        </w:rPr>
        <w:t>Supervision/Certification</w:t>
      </w:r>
      <w:bookmarkEnd w:id="138"/>
      <w:bookmarkEnd w:id="139"/>
      <w:bookmarkEnd w:id="140"/>
      <w:bookmarkEnd w:id="141"/>
      <w:bookmarkEnd w:id="142"/>
      <w:bookmarkEnd w:id="143"/>
      <w:bookmarkEnd w:id="144"/>
      <w:bookmarkEnd w:id="145"/>
      <w:bookmarkEnd w:id="146"/>
    </w:p>
    <w:p w14:paraId="5E0544AF" w14:textId="77777777" w:rsidR="00F965F4" w:rsidRDefault="00F965F4" w:rsidP="00F965F4">
      <w:pPr>
        <w:rPr>
          <w:rFonts w:cs="Arial"/>
          <w:szCs w:val="22"/>
        </w:rPr>
      </w:pPr>
    </w:p>
    <w:p w14:paraId="0B28D32E" w14:textId="77777777" w:rsidR="00F965F4" w:rsidRDefault="00F965F4" w:rsidP="00074298">
      <w:pPr>
        <w:pStyle w:val="11"/>
        <w:numPr>
          <w:ilvl w:val="0"/>
          <w:numId w:val="29"/>
        </w:numPr>
        <w:ind w:left="567" w:hanging="567"/>
      </w:pPr>
      <w:r>
        <w:t xml:space="preserve">Upon completion of the work a certificate must be issued by a RPEQ certifying that the works have been constructed/undertaken in accordance with the Operational Works approval.  </w:t>
      </w:r>
    </w:p>
    <w:p w14:paraId="1CEBEADA" w14:textId="51A04042" w:rsidR="00F965F4" w:rsidRDefault="00F965F4" w:rsidP="00251884">
      <w:pPr>
        <w:pStyle w:val="11"/>
        <w:numPr>
          <w:ilvl w:val="0"/>
          <w:numId w:val="0"/>
        </w:numPr>
        <w:ind w:left="567"/>
        <w:rPr>
          <w:b/>
          <w:bCs/>
        </w:rPr>
      </w:pPr>
      <w:bookmarkStart w:id="147" w:name="_Toc359318858"/>
      <w:bookmarkStart w:id="148" w:name="_Toc359321720"/>
      <w:bookmarkStart w:id="149" w:name="_Toc359321829"/>
      <w:bookmarkStart w:id="150" w:name="_Toc359321937"/>
      <w:bookmarkStart w:id="151" w:name="_Toc359322153"/>
      <w:bookmarkStart w:id="152" w:name="_Toc360187701"/>
      <w:bookmarkStart w:id="153" w:name="_Toc361920703"/>
      <w:bookmarkStart w:id="154" w:name="_Toc361920814"/>
      <w:bookmarkStart w:id="155" w:name="_Toc387754690"/>
    </w:p>
    <w:p w14:paraId="43EF2081" w14:textId="395DF049" w:rsidR="00F965F4" w:rsidRDefault="00F965F4" w:rsidP="00F965F4">
      <w:pPr>
        <w:ind w:left="567"/>
        <w:outlineLvl w:val="2"/>
        <w:rPr>
          <w:rFonts w:cs="Arial"/>
          <w:b/>
          <w:bCs/>
          <w:szCs w:val="22"/>
        </w:rPr>
      </w:pPr>
      <w:r>
        <w:rPr>
          <w:rFonts w:cs="Arial"/>
          <w:b/>
          <w:bCs/>
          <w:szCs w:val="22"/>
        </w:rPr>
        <w:t>Bonds</w:t>
      </w:r>
      <w:bookmarkEnd w:id="137"/>
      <w:bookmarkEnd w:id="147"/>
      <w:bookmarkEnd w:id="148"/>
      <w:bookmarkEnd w:id="149"/>
      <w:bookmarkEnd w:id="150"/>
      <w:bookmarkEnd w:id="151"/>
      <w:bookmarkEnd w:id="152"/>
      <w:bookmarkEnd w:id="153"/>
      <w:bookmarkEnd w:id="154"/>
      <w:bookmarkEnd w:id="155"/>
    </w:p>
    <w:p w14:paraId="47BED72B" w14:textId="77777777" w:rsidR="00F965F4" w:rsidRDefault="00F965F4" w:rsidP="00F965F4">
      <w:pPr>
        <w:rPr>
          <w:rFonts w:cs="Arial"/>
          <w:szCs w:val="22"/>
        </w:rPr>
      </w:pPr>
    </w:p>
    <w:p w14:paraId="7F517272" w14:textId="77777777" w:rsidR="00F965F4" w:rsidRDefault="00F965F4" w:rsidP="00074298">
      <w:pPr>
        <w:pStyle w:val="11"/>
        <w:numPr>
          <w:ilvl w:val="0"/>
          <w:numId w:val="29"/>
        </w:numPr>
        <w:ind w:left="567" w:hanging="567"/>
        <w:rPr>
          <w:b/>
        </w:rPr>
      </w:pPr>
      <w:bookmarkStart w:id="156" w:name="_Toc359318859"/>
      <w:bookmarkStart w:id="157" w:name="_Toc359321721"/>
      <w:bookmarkStart w:id="158" w:name="_Toc359321830"/>
      <w:bookmarkStart w:id="159" w:name="_Toc359321938"/>
      <w:bookmarkStart w:id="160" w:name="_Toc359322154"/>
      <w:r>
        <w:t>Bonds must:</w:t>
      </w:r>
    </w:p>
    <w:p w14:paraId="72A079D8" w14:textId="77777777" w:rsidR="00F965F4" w:rsidRDefault="00F965F4" w:rsidP="00074298">
      <w:pPr>
        <w:numPr>
          <w:ilvl w:val="1"/>
          <w:numId w:val="37"/>
        </w:numPr>
        <w:rPr>
          <w:rFonts w:cs="Arial"/>
          <w:szCs w:val="22"/>
        </w:rPr>
      </w:pPr>
      <w:r>
        <w:rPr>
          <w:rFonts w:cs="Arial"/>
          <w:szCs w:val="22"/>
        </w:rPr>
        <w:t xml:space="preserve">Meet the requirements of Council’s relevant Planning Scheme Policy for performance, uncompleted works and maintenance.  </w:t>
      </w:r>
    </w:p>
    <w:p w14:paraId="116F4C2E" w14:textId="77777777" w:rsidR="00F965F4" w:rsidRDefault="00F965F4" w:rsidP="00074298">
      <w:pPr>
        <w:numPr>
          <w:ilvl w:val="1"/>
          <w:numId w:val="37"/>
        </w:numPr>
        <w:rPr>
          <w:rFonts w:cs="Arial"/>
          <w:szCs w:val="22"/>
        </w:rPr>
      </w:pPr>
      <w:r>
        <w:rPr>
          <w:rFonts w:cs="Arial"/>
          <w:szCs w:val="22"/>
        </w:rPr>
        <w:t xml:space="preserve">Be calculated using a schedule of works and relevant bond equation.  </w:t>
      </w:r>
    </w:p>
    <w:p w14:paraId="75CA4C29" w14:textId="77777777" w:rsidR="00F965F4" w:rsidRDefault="00F965F4" w:rsidP="00074298">
      <w:pPr>
        <w:numPr>
          <w:ilvl w:val="1"/>
          <w:numId w:val="37"/>
        </w:numPr>
        <w:rPr>
          <w:rFonts w:cs="Arial"/>
          <w:szCs w:val="22"/>
        </w:rPr>
      </w:pPr>
      <w:r>
        <w:rPr>
          <w:rFonts w:cs="Arial"/>
          <w:szCs w:val="22"/>
        </w:rPr>
        <w:t xml:space="preserve">Include GST.  </w:t>
      </w:r>
    </w:p>
    <w:p w14:paraId="6CD8BDB9" w14:textId="77777777" w:rsidR="00F965F4" w:rsidRDefault="00F965F4" w:rsidP="00074298">
      <w:pPr>
        <w:numPr>
          <w:ilvl w:val="1"/>
          <w:numId w:val="37"/>
        </w:numPr>
        <w:rPr>
          <w:rFonts w:cs="Arial"/>
          <w:szCs w:val="22"/>
        </w:rPr>
      </w:pPr>
      <w:r>
        <w:rPr>
          <w:rFonts w:cs="Arial"/>
          <w:szCs w:val="22"/>
        </w:rPr>
        <w:t xml:space="preserve">Have approval of the bond calculations and amount from Council prior to lodgement.  </w:t>
      </w:r>
    </w:p>
    <w:p w14:paraId="51F353B9" w14:textId="77777777" w:rsidR="00F965F4" w:rsidRDefault="00F965F4" w:rsidP="00074298">
      <w:pPr>
        <w:numPr>
          <w:ilvl w:val="1"/>
          <w:numId w:val="37"/>
        </w:numPr>
        <w:rPr>
          <w:rFonts w:cs="Arial"/>
          <w:szCs w:val="22"/>
        </w:rPr>
      </w:pPr>
      <w:r>
        <w:rPr>
          <w:rFonts w:cs="Arial"/>
          <w:szCs w:val="22"/>
        </w:rPr>
        <w:t xml:space="preserve">Be lodged with Council and accompanied by the Bond Administration Fee/s.  </w:t>
      </w:r>
    </w:p>
    <w:p w14:paraId="6905239D" w14:textId="66429707" w:rsidR="00F965F4" w:rsidRDefault="00F965F4" w:rsidP="00074298">
      <w:pPr>
        <w:numPr>
          <w:ilvl w:val="1"/>
          <w:numId w:val="37"/>
        </w:numPr>
        <w:rPr>
          <w:rFonts w:cs="Arial"/>
          <w:szCs w:val="22"/>
        </w:rPr>
      </w:pPr>
      <w:r>
        <w:rPr>
          <w:rFonts w:cs="Arial"/>
          <w:szCs w:val="22"/>
        </w:rPr>
        <w:t xml:space="preserve">Be requested for release by writing to Council, when relevant approval requirements have been met.  </w:t>
      </w:r>
      <w:bookmarkStart w:id="161" w:name="_Toc359318860"/>
      <w:bookmarkStart w:id="162" w:name="_Toc359321722"/>
      <w:bookmarkStart w:id="163" w:name="_Toc359321831"/>
      <w:bookmarkStart w:id="164" w:name="_Toc359321939"/>
      <w:bookmarkStart w:id="165" w:name="_Toc359322155"/>
      <w:bookmarkStart w:id="166" w:name="_Toc360187703"/>
      <w:bookmarkStart w:id="167" w:name="_Toc361920705"/>
      <w:bookmarkStart w:id="168" w:name="_Toc361920816"/>
      <w:bookmarkStart w:id="169" w:name="_Toc360187702"/>
      <w:bookmarkStart w:id="170" w:name="_Toc361920704"/>
      <w:bookmarkStart w:id="171" w:name="_Toc361920815"/>
    </w:p>
    <w:p w14:paraId="23A8CDF9" w14:textId="77777777" w:rsidR="00251884" w:rsidRPr="00251884" w:rsidRDefault="00251884" w:rsidP="00251884">
      <w:pPr>
        <w:ind w:left="1134"/>
        <w:rPr>
          <w:rFonts w:cs="Arial"/>
          <w:szCs w:val="22"/>
        </w:rPr>
      </w:pPr>
    </w:p>
    <w:p w14:paraId="053431F4" w14:textId="77777777" w:rsidR="00F965F4" w:rsidRDefault="00F965F4" w:rsidP="00F965F4">
      <w:pPr>
        <w:ind w:left="567"/>
        <w:outlineLvl w:val="2"/>
        <w:rPr>
          <w:rFonts w:cs="Arial"/>
          <w:b/>
          <w:bCs/>
          <w:szCs w:val="22"/>
        </w:rPr>
      </w:pPr>
      <w:bookmarkStart w:id="172" w:name="_Toc387754691"/>
      <w:r>
        <w:rPr>
          <w:rFonts w:cs="Arial"/>
          <w:b/>
          <w:bCs/>
          <w:szCs w:val="22"/>
        </w:rPr>
        <w:t>As Constructed Plans</w:t>
      </w:r>
      <w:bookmarkEnd w:id="161"/>
      <w:bookmarkEnd w:id="162"/>
      <w:bookmarkEnd w:id="163"/>
      <w:bookmarkEnd w:id="164"/>
      <w:bookmarkEnd w:id="165"/>
      <w:bookmarkEnd w:id="166"/>
      <w:bookmarkEnd w:id="167"/>
      <w:bookmarkEnd w:id="168"/>
      <w:bookmarkEnd w:id="172"/>
    </w:p>
    <w:p w14:paraId="3E6D110B" w14:textId="77777777" w:rsidR="00F965F4" w:rsidRDefault="00F965F4" w:rsidP="00F965F4">
      <w:pPr>
        <w:rPr>
          <w:rFonts w:cs="Arial"/>
          <w:szCs w:val="22"/>
        </w:rPr>
      </w:pPr>
    </w:p>
    <w:p w14:paraId="79339DB2" w14:textId="77777777" w:rsidR="00F965F4" w:rsidRDefault="00F965F4" w:rsidP="00074298">
      <w:pPr>
        <w:pStyle w:val="11"/>
        <w:numPr>
          <w:ilvl w:val="0"/>
          <w:numId w:val="29"/>
        </w:numPr>
        <w:ind w:left="567" w:hanging="567"/>
      </w:pPr>
      <w:r>
        <w:t>Prior to acceptance On Maintenance of civil works intended to become Council assets, As Constructed records must be submitted to and approved by Council.  The As Constructed information must include:</w:t>
      </w:r>
    </w:p>
    <w:p w14:paraId="4C35B98A" w14:textId="77777777" w:rsidR="00F965F4" w:rsidRDefault="00F965F4" w:rsidP="00074298">
      <w:pPr>
        <w:numPr>
          <w:ilvl w:val="1"/>
          <w:numId w:val="38"/>
        </w:numPr>
        <w:rPr>
          <w:rFonts w:cs="Arial"/>
          <w:szCs w:val="22"/>
        </w:rPr>
      </w:pPr>
      <w:r>
        <w:rPr>
          <w:rFonts w:cs="Arial"/>
          <w:szCs w:val="22"/>
        </w:rPr>
        <w:t xml:space="preserve">Drawings and data certified by a RPEQ for design intent,  These must be certified by a Licensed Surveyor in regard to the cadastre and the location, level and type of all services and structures.  </w:t>
      </w:r>
    </w:p>
    <w:p w14:paraId="441BB0FC" w14:textId="77777777" w:rsidR="00F965F4" w:rsidRDefault="00F965F4" w:rsidP="00074298">
      <w:pPr>
        <w:numPr>
          <w:ilvl w:val="1"/>
          <w:numId w:val="38"/>
        </w:numPr>
        <w:rPr>
          <w:rFonts w:cs="Arial"/>
          <w:szCs w:val="22"/>
        </w:rPr>
      </w:pPr>
      <w:r>
        <w:rPr>
          <w:rFonts w:cs="Arial"/>
          <w:szCs w:val="22"/>
        </w:rPr>
        <w:t xml:space="preserve">The data must be in accordance with Council’s </w:t>
      </w:r>
      <w:r>
        <w:rPr>
          <w:rFonts w:cs="Arial"/>
          <w:i/>
          <w:color w:val="000000"/>
          <w:szCs w:val="22"/>
        </w:rPr>
        <w:t>Planning scheme policy for development works</w:t>
      </w:r>
      <w:r>
        <w:rPr>
          <w:rFonts w:cs="Arial"/>
          <w:szCs w:val="22"/>
        </w:rPr>
        <w:t xml:space="preserve"> and fully detail levels for all engineering works including, but not limited to, drainage structures, finished ground levels and pavement surface levels.  The data must be submitted in hardcopy form and digital format </w:t>
      </w:r>
      <w:r>
        <w:rPr>
          <w:rFonts w:cs="Arial"/>
          <w:szCs w:val="22"/>
        </w:rPr>
        <w:lastRenderedPageBreak/>
        <w:t xml:space="preserve">(Asset Design and As Constructed (ADAC)).  Guidelines on the use of ADAC are available at </w:t>
      </w:r>
      <w:hyperlink r:id="rId9" w:history="1">
        <w:r>
          <w:rPr>
            <w:rStyle w:val="Hyperlink"/>
            <w:rFonts w:cs="Arial"/>
            <w:szCs w:val="22"/>
          </w:rPr>
          <w:t>www.adac.com.au</w:t>
        </w:r>
      </w:hyperlink>
    </w:p>
    <w:p w14:paraId="756182D1" w14:textId="77777777" w:rsidR="00F965F4" w:rsidRDefault="00F965F4" w:rsidP="00F965F4">
      <w:pPr>
        <w:outlineLvl w:val="2"/>
        <w:rPr>
          <w:rFonts w:cs="Arial"/>
          <w:bCs/>
          <w:szCs w:val="22"/>
        </w:rPr>
      </w:pPr>
    </w:p>
    <w:p w14:paraId="38E492DF" w14:textId="12B90EDE" w:rsidR="00F965F4" w:rsidRDefault="00F965F4" w:rsidP="00F965F4">
      <w:pPr>
        <w:ind w:left="567"/>
        <w:outlineLvl w:val="2"/>
        <w:rPr>
          <w:rFonts w:cs="Arial"/>
          <w:b/>
          <w:bCs/>
          <w:szCs w:val="22"/>
        </w:rPr>
      </w:pPr>
      <w:bookmarkStart w:id="173" w:name="_Toc387754692"/>
      <w:r>
        <w:rPr>
          <w:rFonts w:cs="Arial"/>
          <w:b/>
          <w:bCs/>
          <w:szCs w:val="22"/>
        </w:rPr>
        <w:t>On Maintenance</w:t>
      </w:r>
      <w:bookmarkEnd w:id="156"/>
      <w:bookmarkEnd w:id="157"/>
      <w:bookmarkEnd w:id="158"/>
      <w:bookmarkEnd w:id="159"/>
      <w:bookmarkEnd w:id="160"/>
      <w:bookmarkEnd w:id="169"/>
      <w:bookmarkEnd w:id="170"/>
      <w:bookmarkEnd w:id="171"/>
      <w:bookmarkEnd w:id="173"/>
    </w:p>
    <w:p w14:paraId="33E35419" w14:textId="77777777" w:rsidR="00F965F4" w:rsidRDefault="00F965F4" w:rsidP="00F965F4">
      <w:pPr>
        <w:rPr>
          <w:rFonts w:cs="Arial"/>
          <w:szCs w:val="22"/>
        </w:rPr>
      </w:pPr>
    </w:p>
    <w:p w14:paraId="331E09D1" w14:textId="77777777" w:rsidR="00F965F4" w:rsidRDefault="00F965F4" w:rsidP="00074298">
      <w:pPr>
        <w:pStyle w:val="11"/>
        <w:numPr>
          <w:ilvl w:val="0"/>
          <w:numId w:val="29"/>
        </w:numPr>
        <w:ind w:left="567" w:hanging="567"/>
      </w:pPr>
      <w:r>
        <w:t xml:space="preserve">A secondary CCTV inspection is to be completed for the same extent as required prior to the commencement of works, prior to the acceptance On Maintenance.  Any damage identified must be fully rectified at the applicant’s cost.  </w:t>
      </w:r>
    </w:p>
    <w:p w14:paraId="226B5C63" w14:textId="77777777" w:rsidR="00F965F4" w:rsidRDefault="00F965F4" w:rsidP="00F965F4">
      <w:pPr>
        <w:rPr>
          <w:rFonts w:cs="Arial"/>
          <w:szCs w:val="22"/>
        </w:rPr>
      </w:pPr>
    </w:p>
    <w:p w14:paraId="0BC4040E" w14:textId="77777777" w:rsidR="00F965F4" w:rsidRDefault="00F965F4" w:rsidP="00074298">
      <w:pPr>
        <w:pStyle w:val="11"/>
        <w:numPr>
          <w:ilvl w:val="0"/>
          <w:numId w:val="29"/>
        </w:numPr>
        <w:ind w:left="567" w:hanging="567"/>
      </w:pPr>
      <w:r>
        <w:t>All municipal works must be accepted On Maintenance by Council in accordance with Council’s relevant Planning Scheme Policy prior to commencement of use.  To achieve On Maintenance, the certifying RPEQ must submit to Council:</w:t>
      </w:r>
    </w:p>
    <w:p w14:paraId="79DC4880" w14:textId="29DBDBFC" w:rsidR="00F965F4" w:rsidRDefault="00F965F4" w:rsidP="00074298">
      <w:pPr>
        <w:numPr>
          <w:ilvl w:val="1"/>
          <w:numId w:val="39"/>
        </w:numPr>
        <w:rPr>
          <w:rFonts w:cs="Arial"/>
          <w:szCs w:val="22"/>
        </w:rPr>
      </w:pPr>
      <w:r>
        <w:rPr>
          <w:rFonts w:cs="Arial"/>
          <w:szCs w:val="22"/>
        </w:rPr>
        <w:t>Certification (including landscape works) that all works have been undertaken and completed in accordance with the requirements of this approval.</w:t>
      </w:r>
    </w:p>
    <w:p w14:paraId="12D65847" w14:textId="77777777" w:rsidR="00F965F4" w:rsidRDefault="00F965F4" w:rsidP="00074298">
      <w:pPr>
        <w:numPr>
          <w:ilvl w:val="1"/>
          <w:numId w:val="39"/>
        </w:numPr>
        <w:rPr>
          <w:rFonts w:cs="Arial"/>
          <w:szCs w:val="22"/>
        </w:rPr>
      </w:pPr>
      <w:r>
        <w:rPr>
          <w:rFonts w:cs="Arial"/>
          <w:szCs w:val="22"/>
        </w:rPr>
        <w:t>As Constructed details in accordance with Council’s relevant Planning Scheme Policy.</w:t>
      </w:r>
    </w:p>
    <w:p w14:paraId="1E3433E9" w14:textId="2F4484A1" w:rsidR="00F965F4" w:rsidRDefault="00F965F4" w:rsidP="00074298">
      <w:pPr>
        <w:pStyle w:val="L1"/>
        <w:numPr>
          <w:ilvl w:val="1"/>
          <w:numId w:val="39"/>
        </w:numPr>
      </w:pPr>
      <w:r>
        <w:t xml:space="preserve">Maintenance and operational manuals for all proprietary devices.  </w:t>
      </w:r>
      <w:bookmarkStart w:id="174" w:name="_Toc332010664"/>
      <w:bookmarkStart w:id="175" w:name="_Toc359318861"/>
      <w:bookmarkStart w:id="176" w:name="_Toc359321723"/>
      <w:bookmarkStart w:id="177" w:name="_Toc359321832"/>
      <w:bookmarkStart w:id="178" w:name="_Toc359321940"/>
      <w:bookmarkStart w:id="179" w:name="_Toc359322156"/>
      <w:bookmarkStart w:id="180" w:name="_Toc360187704"/>
      <w:bookmarkStart w:id="181" w:name="_Toc361920706"/>
      <w:bookmarkStart w:id="182" w:name="_Toc361920817"/>
    </w:p>
    <w:p w14:paraId="72A0E568" w14:textId="77777777" w:rsidR="00F959D7" w:rsidRPr="002422C3" w:rsidRDefault="00F959D7" w:rsidP="000A7607">
      <w:pPr>
        <w:pStyle w:val="L1"/>
        <w:numPr>
          <w:ilvl w:val="0"/>
          <w:numId w:val="0"/>
        </w:numPr>
      </w:pPr>
    </w:p>
    <w:p w14:paraId="53B8215F" w14:textId="77777777" w:rsidR="00F965F4" w:rsidRDefault="00F965F4" w:rsidP="00F965F4">
      <w:pPr>
        <w:ind w:left="567"/>
        <w:outlineLvl w:val="2"/>
        <w:rPr>
          <w:rFonts w:cs="Arial"/>
          <w:b/>
          <w:bCs/>
          <w:szCs w:val="22"/>
        </w:rPr>
      </w:pPr>
      <w:bookmarkStart w:id="183" w:name="_Toc387754693"/>
      <w:r>
        <w:rPr>
          <w:rFonts w:cs="Arial"/>
          <w:b/>
          <w:bCs/>
          <w:szCs w:val="22"/>
        </w:rPr>
        <w:t>Off Maintenance</w:t>
      </w:r>
      <w:bookmarkEnd w:id="174"/>
      <w:bookmarkEnd w:id="175"/>
      <w:bookmarkEnd w:id="176"/>
      <w:bookmarkEnd w:id="177"/>
      <w:bookmarkEnd w:id="178"/>
      <w:bookmarkEnd w:id="179"/>
      <w:bookmarkEnd w:id="180"/>
      <w:bookmarkEnd w:id="181"/>
      <w:bookmarkEnd w:id="182"/>
      <w:bookmarkEnd w:id="183"/>
    </w:p>
    <w:p w14:paraId="59E52E66" w14:textId="77777777" w:rsidR="00F965F4" w:rsidRDefault="00F965F4" w:rsidP="00F965F4">
      <w:pPr>
        <w:rPr>
          <w:rFonts w:cs="Arial"/>
          <w:szCs w:val="22"/>
        </w:rPr>
      </w:pPr>
    </w:p>
    <w:p w14:paraId="4831E6AE" w14:textId="77777777" w:rsidR="00F965F4" w:rsidRDefault="00F965F4" w:rsidP="00074298">
      <w:pPr>
        <w:pStyle w:val="11"/>
        <w:numPr>
          <w:ilvl w:val="0"/>
          <w:numId w:val="29"/>
        </w:numPr>
        <w:ind w:left="567" w:hanging="567"/>
      </w:pPr>
      <w:r>
        <w:t xml:space="preserve">Prior to requesting an Off Maintenance inspection, the applicant must provide Council with a written request to release the bond.  </w:t>
      </w:r>
    </w:p>
    <w:p w14:paraId="3D6B8311" w14:textId="77777777" w:rsidR="00F965F4" w:rsidRDefault="00F965F4" w:rsidP="00F965F4">
      <w:pPr>
        <w:rPr>
          <w:rFonts w:cs="Arial"/>
          <w:szCs w:val="22"/>
        </w:rPr>
      </w:pPr>
    </w:p>
    <w:p w14:paraId="6090058E" w14:textId="77777777" w:rsidR="00F965F4" w:rsidRDefault="00F965F4" w:rsidP="00074298">
      <w:pPr>
        <w:pStyle w:val="11"/>
        <w:numPr>
          <w:ilvl w:val="0"/>
          <w:numId w:val="29"/>
        </w:numPr>
        <w:ind w:left="567" w:hanging="567"/>
      </w:pPr>
      <w:r>
        <w:t>A re-inspection fee in accordance with Council’s Fees and Charges Register will be charged where:</w:t>
      </w:r>
    </w:p>
    <w:p w14:paraId="10320563" w14:textId="77777777" w:rsidR="00F965F4" w:rsidRDefault="00F965F4" w:rsidP="00074298">
      <w:pPr>
        <w:numPr>
          <w:ilvl w:val="1"/>
          <w:numId w:val="40"/>
        </w:numPr>
        <w:rPr>
          <w:rFonts w:cs="Arial"/>
          <w:szCs w:val="22"/>
        </w:rPr>
      </w:pPr>
      <w:r>
        <w:rPr>
          <w:rFonts w:cs="Arial"/>
          <w:szCs w:val="22"/>
        </w:rPr>
        <w:t xml:space="preserve">A Council inspection reveals works do not comply with approval requirements.  </w:t>
      </w:r>
    </w:p>
    <w:p w14:paraId="6A05508C" w14:textId="77777777" w:rsidR="00F965F4" w:rsidRDefault="00F965F4" w:rsidP="00074298">
      <w:pPr>
        <w:numPr>
          <w:ilvl w:val="1"/>
          <w:numId w:val="40"/>
        </w:numPr>
        <w:rPr>
          <w:rFonts w:cs="Arial"/>
          <w:szCs w:val="22"/>
        </w:rPr>
      </w:pPr>
      <w:r>
        <w:rPr>
          <w:rFonts w:cs="Arial"/>
          <w:szCs w:val="22"/>
        </w:rPr>
        <w:t xml:space="preserve">A submitted certification falsely states works comply with approval requirements.  </w:t>
      </w:r>
    </w:p>
    <w:p w14:paraId="68F003CB" w14:textId="77777777" w:rsidR="00F965F4" w:rsidRDefault="00F965F4" w:rsidP="00F965F4">
      <w:pPr>
        <w:tabs>
          <w:tab w:val="left" w:pos="567"/>
        </w:tabs>
        <w:rPr>
          <w:szCs w:val="20"/>
          <w:lang w:eastAsia="en-US"/>
        </w:rPr>
      </w:pPr>
      <w:bookmarkStart w:id="184" w:name="_Toc359318862"/>
      <w:bookmarkStart w:id="185" w:name="_Toc359321604"/>
      <w:bookmarkStart w:id="186" w:name="_Toc359321663"/>
      <w:bookmarkStart w:id="187" w:name="_Toc359321724"/>
      <w:bookmarkStart w:id="188" w:name="_Toc359321833"/>
      <w:bookmarkStart w:id="189" w:name="_Toc359321941"/>
      <w:bookmarkStart w:id="190" w:name="_Toc359322157"/>
      <w:bookmarkStart w:id="191" w:name="_Toc360187705"/>
      <w:bookmarkStart w:id="192" w:name="_Toc361920663"/>
      <w:bookmarkStart w:id="193" w:name="_Toc361920707"/>
      <w:bookmarkStart w:id="194" w:name="_Toc361920818"/>
    </w:p>
    <w:p w14:paraId="5ACE6307" w14:textId="77777777" w:rsidR="00F965F4" w:rsidRDefault="00F965F4" w:rsidP="00F965F4">
      <w:pPr>
        <w:outlineLvl w:val="0"/>
        <w:rPr>
          <w:rFonts w:cs="Arial"/>
          <w:b/>
          <w:bCs/>
        </w:rPr>
      </w:pPr>
      <w:bookmarkStart w:id="195" w:name="AMCBegin"/>
      <w:bookmarkStart w:id="196" w:name="_Toc486678644"/>
      <w:bookmarkEnd w:id="195"/>
      <w:r>
        <w:rPr>
          <w:rFonts w:cs="Arial"/>
          <w:b/>
          <w:bCs/>
        </w:rPr>
        <w:t>GENERAL</w:t>
      </w:r>
    </w:p>
    <w:p w14:paraId="3AB9ED0B" w14:textId="77777777" w:rsidR="00F965F4" w:rsidRDefault="00F965F4" w:rsidP="00F965F4">
      <w:pPr>
        <w:rPr>
          <w:lang w:eastAsia="en-US"/>
        </w:rPr>
      </w:pPr>
    </w:p>
    <w:p w14:paraId="09C78F3F" w14:textId="77777777" w:rsidR="00F965F4" w:rsidRDefault="00F965F4" w:rsidP="00F965F4">
      <w:pPr>
        <w:pStyle w:val="heading6"/>
        <w:jc w:val="both"/>
      </w:pPr>
      <w:r>
        <w:t>Sunset Date for Completion of Approved Development</w:t>
      </w:r>
      <w:bookmarkEnd w:id="196"/>
    </w:p>
    <w:p w14:paraId="47CF2BF8" w14:textId="77777777" w:rsidR="00F965F4" w:rsidRDefault="00F965F4" w:rsidP="00AC09CE">
      <w:pPr>
        <w:pStyle w:val="11"/>
        <w:numPr>
          <w:ilvl w:val="0"/>
          <w:numId w:val="0"/>
        </w:numPr>
      </w:pPr>
    </w:p>
    <w:p w14:paraId="71D698E4" w14:textId="77777777" w:rsidR="00F965F4" w:rsidRDefault="00F965F4" w:rsidP="00074298">
      <w:pPr>
        <w:pStyle w:val="11"/>
        <w:numPr>
          <w:ilvl w:val="0"/>
          <w:numId w:val="29"/>
        </w:numPr>
        <w:ind w:left="567" w:hanging="567"/>
      </w:pPr>
      <w:r>
        <w:t xml:space="preserve">Pursuant to s88 of the </w:t>
      </w:r>
      <w:r w:rsidRPr="00AC09CE">
        <w:rPr>
          <w:i/>
        </w:rPr>
        <w:t>Planning Act 2016</w:t>
      </w:r>
      <w:r>
        <w:t xml:space="preserve">, this development approval lapses the sooner of 30 June 2025, or the end of the currency period of the higher order approval.  </w:t>
      </w:r>
    </w:p>
    <w:p w14:paraId="50B44DD3" w14:textId="77777777" w:rsidR="00F965F4" w:rsidRDefault="00F965F4" w:rsidP="00F965F4">
      <w:pPr>
        <w:tabs>
          <w:tab w:val="left" w:pos="567"/>
        </w:tabs>
        <w:rPr>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A0" w:firstRow="1" w:lastRow="0" w:firstColumn="1" w:lastColumn="0" w:noHBand="0" w:noVBand="0"/>
      </w:tblPr>
      <w:tblGrid>
        <w:gridCol w:w="8641"/>
      </w:tblGrid>
      <w:tr w:rsidR="00F965F4" w14:paraId="03B4271A" w14:textId="77777777" w:rsidTr="00F965F4">
        <w:tc>
          <w:tcPr>
            <w:tcW w:w="8642" w:type="dxa"/>
            <w:tcBorders>
              <w:top w:val="single" w:sz="4" w:space="0" w:color="auto"/>
              <w:left w:val="single" w:sz="4" w:space="0" w:color="auto"/>
              <w:bottom w:val="single" w:sz="4" w:space="0" w:color="auto"/>
              <w:right w:val="single" w:sz="4" w:space="0" w:color="auto"/>
            </w:tcBorders>
            <w:shd w:val="clear" w:color="auto" w:fill="E6E6E6"/>
            <w:hideMark/>
          </w:tcPr>
          <w:p w14:paraId="301A802E" w14:textId="77777777" w:rsidR="00F965F4" w:rsidRDefault="00F965F4">
            <w:pPr>
              <w:pStyle w:val="DAHeading"/>
              <w:numPr>
                <w:ilvl w:val="0"/>
                <w:numId w:val="0"/>
              </w:numPr>
              <w:tabs>
                <w:tab w:val="left" w:pos="720"/>
              </w:tabs>
            </w:pPr>
            <w:r>
              <w:t>DEVELOPMENT PLANS</w:t>
            </w:r>
          </w:p>
        </w:tc>
      </w:tr>
    </w:tbl>
    <w:p w14:paraId="314CC160" w14:textId="77777777" w:rsidR="00F965F4" w:rsidRDefault="00F965F4" w:rsidP="00F965F4">
      <w:pPr>
        <w:rPr>
          <w:szCs w:val="20"/>
          <w:lang w:eastAsia="en-US"/>
        </w:rPr>
      </w:pPr>
    </w:p>
    <w:p w14:paraId="68A34ACD" w14:textId="77777777" w:rsidR="00F965F4" w:rsidRDefault="00F965F4" w:rsidP="00F965F4">
      <w:r>
        <w:t>The following development plans are Approved Plans for the development:</w:t>
      </w:r>
    </w:p>
    <w:p w14:paraId="5B798CE3" w14:textId="77777777" w:rsidR="00F965F4" w:rsidRDefault="00F965F4" w:rsidP="00F965F4"/>
    <w:p w14:paraId="611EC850" w14:textId="77777777" w:rsidR="00F965F4" w:rsidRDefault="00F965F4" w:rsidP="00F965F4">
      <w:pPr>
        <w:spacing w:after="60"/>
        <w:outlineLvl w:val="0"/>
        <w:rPr>
          <w:rFonts w:cs="Arial"/>
          <w:szCs w:val="22"/>
        </w:rPr>
      </w:pPr>
      <w:r>
        <w:rPr>
          <w:rFonts w:cs="Arial"/>
          <w:b/>
          <w:szCs w:val="22"/>
        </w:rPr>
        <w:t>Approved Plans</w:t>
      </w: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2"/>
        <w:gridCol w:w="709"/>
        <w:gridCol w:w="5390"/>
        <w:gridCol w:w="1419"/>
      </w:tblGrid>
      <w:tr w:rsidR="00F965F4" w14:paraId="295696B9" w14:textId="77777777" w:rsidTr="002422C3">
        <w:tc>
          <w:tcPr>
            <w:tcW w:w="1272" w:type="dxa"/>
            <w:tcBorders>
              <w:top w:val="single" w:sz="4" w:space="0" w:color="auto"/>
              <w:left w:val="single" w:sz="4" w:space="0" w:color="auto"/>
              <w:bottom w:val="single" w:sz="4" w:space="0" w:color="auto"/>
              <w:right w:val="single" w:sz="4" w:space="0" w:color="auto"/>
            </w:tcBorders>
            <w:shd w:val="clear" w:color="auto" w:fill="D9D9D9"/>
            <w:hideMark/>
          </w:tcPr>
          <w:p w14:paraId="74F79BD2" w14:textId="77777777" w:rsidR="00F965F4" w:rsidRDefault="00F965F4">
            <w:pPr>
              <w:spacing w:before="60" w:after="60"/>
              <w:rPr>
                <w:rFonts w:cs="Arial"/>
                <w:b/>
                <w:szCs w:val="22"/>
              </w:rPr>
            </w:pPr>
            <w:r>
              <w:rPr>
                <w:rFonts w:cs="Arial"/>
                <w:b/>
                <w:szCs w:val="22"/>
              </w:rPr>
              <w:t>Plan No.</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14:paraId="5A21C3AB" w14:textId="77777777" w:rsidR="00F965F4" w:rsidRDefault="00F965F4">
            <w:pPr>
              <w:spacing w:before="60" w:after="60"/>
              <w:rPr>
                <w:rFonts w:cs="Arial"/>
                <w:b/>
                <w:szCs w:val="22"/>
              </w:rPr>
            </w:pPr>
            <w:r>
              <w:rPr>
                <w:rFonts w:cs="Arial"/>
                <w:b/>
                <w:szCs w:val="22"/>
              </w:rPr>
              <w:t>Rev.</w:t>
            </w:r>
          </w:p>
        </w:tc>
        <w:tc>
          <w:tcPr>
            <w:tcW w:w="5390" w:type="dxa"/>
            <w:tcBorders>
              <w:top w:val="single" w:sz="4" w:space="0" w:color="auto"/>
              <w:left w:val="single" w:sz="4" w:space="0" w:color="auto"/>
              <w:bottom w:val="single" w:sz="4" w:space="0" w:color="auto"/>
              <w:right w:val="single" w:sz="4" w:space="0" w:color="auto"/>
            </w:tcBorders>
            <w:shd w:val="clear" w:color="auto" w:fill="D9D9D9"/>
            <w:hideMark/>
          </w:tcPr>
          <w:p w14:paraId="5C5C650A" w14:textId="77777777" w:rsidR="00F965F4" w:rsidRDefault="00F965F4">
            <w:pPr>
              <w:spacing w:before="60" w:after="60"/>
              <w:rPr>
                <w:rFonts w:cs="Arial"/>
                <w:b/>
                <w:szCs w:val="22"/>
              </w:rPr>
            </w:pPr>
            <w:r>
              <w:rPr>
                <w:rFonts w:cs="Arial"/>
                <w:b/>
                <w:szCs w:val="22"/>
              </w:rPr>
              <w:t>Plan Name</w:t>
            </w:r>
          </w:p>
        </w:tc>
        <w:tc>
          <w:tcPr>
            <w:tcW w:w="1419" w:type="dxa"/>
            <w:tcBorders>
              <w:top w:val="single" w:sz="4" w:space="0" w:color="auto"/>
              <w:left w:val="single" w:sz="4" w:space="0" w:color="auto"/>
              <w:bottom w:val="single" w:sz="4" w:space="0" w:color="auto"/>
              <w:right w:val="single" w:sz="4" w:space="0" w:color="auto"/>
            </w:tcBorders>
            <w:shd w:val="clear" w:color="auto" w:fill="D9D9D9"/>
            <w:hideMark/>
          </w:tcPr>
          <w:p w14:paraId="5F9D1C61" w14:textId="77777777" w:rsidR="00F965F4" w:rsidRDefault="00F965F4">
            <w:pPr>
              <w:spacing w:before="60" w:after="60"/>
              <w:rPr>
                <w:rFonts w:cs="Arial"/>
                <w:b/>
                <w:szCs w:val="22"/>
              </w:rPr>
            </w:pPr>
            <w:r>
              <w:rPr>
                <w:rFonts w:cs="Arial"/>
                <w:b/>
                <w:szCs w:val="22"/>
              </w:rPr>
              <w:t>Date</w:t>
            </w:r>
          </w:p>
        </w:tc>
      </w:tr>
      <w:tr w:rsidR="00F965F4" w14:paraId="4E2E2D04" w14:textId="77777777" w:rsidTr="002422C3">
        <w:trPr>
          <w:trHeight w:val="510"/>
        </w:trPr>
        <w:tc>
          <w:tcPr>
            <w:tcW w:w="1272" w:type="dxa"/>
            <w:tcBorders>
              <w:top w:val="single" w:sz="4" w:space="0" w:color="auto"/>
              <w:left w:val="single" w:sz="4" w:space="0" w:color="auto"/>
              <w:bottom w:val="single" w:sz="4" w:space="0" w:color="auto"/>
              <w:right w:val="single" w:sz="4" w:space="0" w:color="auto"/>
            </w:tcBorders>
            <w:hideMark/>
          </w:tcPr>
          <w:p w14:paraId="79E0F6BE" w14:textId="77777777" w:rsidR="00F965F4" w:rsidRDefault="00F965F4">
            <w:pPr>
              <w:pStyle w:val="rcBodyText"/>
              <w:rPr>
                <w:rFonts w:cs="Arial"/>
                <w:szCs w:val="22"/>
              </w:rPr>
            </w:pPr>
            <w:r>
              <w:rPr>
                <w:rFonts w:cs="Arial"/>
                <w:szCs w:val="22"/>
              </w:rPr>
              <w:t xml:space="preserve">S20/081 C </w:t>
            </w:r>
          </w:p>
        </w:tc>
        <w:tc>
          <w:tcPr>
            <w:tcW w:w="709" w:type="dxa"/>
            <w:tcBorders>
              <w:top w:val="single" w:sz="4" w:space="0" w:color="auto"/>
              <w:left w:val="single" w:sz="4" w:space="0" w:color="auto"/>
              <w:bottom w:val="single" w:sz="4" w:space="0" w:color="auto"/>
              <w:right w:val="single" w:sz="4" w:space="0" w:color="auto"/>
            </w:tcBorders>
            <w:hideMark/>
          </w:tcPr>
          <w:p w14:paraId="4666D86D" w14:textId="77777777" w:rsidR="00F965F4" w:rsidRDefault="00F965F4">
            <w:pPr>
              <w:pStyle w:val="rcBodyText"/>
              <w:rPr>
                <w:rFonts w:cs="Arial"/>
                <w:szCs w:val="22"/>
              </w:rPr>
            </w:pPr>
            <w:r>
              <w:rPr>
                <w:rFonts w:cs="Arial"/>
                <w:szCs w:val="22"/>
              </w:rPr>
              <w:t>A</w:t>
            </w:r>
          </w:p>
        </w:tc>
        <w:tc>
          <w:tcPr>
            <w:tcW w:w="5390" w:type="dxa"/>
            <w:tcBorders>
              <w:top w:val="single" w:sz="4" w:space="0" w:color="auto"/>
              <w:left w:val="single" w:sz="4" w:space="0" w:color="auto"/>
              <w:bottom w:val="single" w:sz="4" w:space="0" w:color="auto"/>
              <w:right w:val="single" w:sz="4" w:space="0" w:color="auto"/>
            </w:tcBorders>
            <w:hideMark/>
          </w:tcPr>
          <w:p w14:paraId="72899BBF" w14:textId="77777777" w:rsidR="00F965F4" w:rsidRDefault="00F965F4">
            <w:pPr>
              <w:rPr>
                <w:rFonts w:cs="Arial"/>
                <w:szCs w:val="22"/>
              </w:rPr>
            </w:pPr>
            <w:r>
              <w:rPr>
                <w:rFonts w:cs="Arial"/>
                <w:i/>
                <w:iCs/>
                <w:szCs w:val="22"/>
              </w:rPr>
              <w:t>Notes &amp; Legend,</w:t>
            </w:r>
            <w:r>
              <w:rPr>
                <w:rFonts w:cs="Arial"/>
                <w:szCs w:val="22"/>
              </w:rPr>
              <w:t xml:space="preserve"> sheet 2 of 7, prepared by Westera Partners </w:t>
            </w:r>
          </w:p>
        </w:tc>
        <w:tc>
          <w:tcPr>
            <w:tcW w:w="1419" w:type="dxa"/>
            <w:tcBorders>
              <w:top w:val="single" w:sz="4" w:space="0" w:color="auto"/>
              <w:left w:val="single" w:sz="4" w:space="0" w:color="auto"/>
              <w:bottom w:val="single" w:sz="4" w:space="0" w:color="auto"/>
              <w:right w:val="single" w:sz="4" w:space="0" w:color="auto"/>
            </w:tcBorders>
            <w:hideMark/>
          </w:tcPr>
          <w:p w14:paraId="2428D989" w14:textId="77777777" w:rsidR="00F965F4" w:rsidRDefault="00F965F4">
            <w:pPr>
              <w:rPr>
                <w:rFonts w:cs="Arial"/>
                <w:szCs w:val="22"/>
              </w:rPr>
            </w:pPr>
            <w:r>
              <w:rPr>
                <w:rFonts w:cs="Arial"/>
                <w:szCs w:val="22"/>
              </w:rPr>
              <w:t>9/02/2021</w:t>
            </w:r>
          </w:p>
        </w:tc>
      </w:tr>
      <w:tr w:rsidR="00F965F4" w14:paraId="35259F67" w14:textId="77777777" w:rsidTr="002422C3">
        <w:trPr>
          <w:trHeight w:val="510"/>
        </w:trPr>
        <w:tc>
          <w:tcPr>
            <w:tcW w:w="1272" w:type="dxa"/>
            <w:tcBorders>
              <w:top w:val="single" w:sz="4" w:space="0" w:color="auto"/>
              <w:left w:val="single" w:sz="4" w:space="0" w:color="auto"/>
              <w:bottom w:val="single" w:sz="4" w:space="0" w:color="auto"/>
              <w:right w:val="single" w:sz="4" w:space="0" w:color="auto"/>
            </w:tcBorders>
            <w:hideMark/>
          </w:tcPr>
          <w:p w14:paraId="5C81E0E5" w14:textId="77777777" w:rsidR="00F965F4" w:rsidRDefault="00F965F4">
            <w:pPr>
              <w:pStyle w:val="rcBodyText"/>
              <w:rPr>
                <w:rFonts w:cs="Arial"/>
                <w:szCs w:val="22"/>
              </w:rPr>
            </w:pPr>
            <w:r>
              <w:rPr>
                <w:rFonts w:cs="Arial"/>
                <w:szCs w:val="22"/>
              </w:rPr>
              <w:t xml:space="preserve">S20/081 C </w:t>
            </w:r>
          </w:p>
        </w:tc>
        <w:tc>
          <w:tcPr>
            <w:tcW w:w="709" w:type="dxa"/>
            <w:tcBorders>
              <w:top w:val="single" w:sz="4" w:space="0" w:color="auto"/>
              <w:left w:val="single" w:sz="4" w:space="0" w:color="auto"/>
              <w:bottom w:val="single" w:sz="4" w:space="0" w:color="auto"/>
              <w:right w:val="single" w:sz="4" w:space="0" w:color="auto"/>
            </w:tcBorders>
            <w:hideMark/>
          </w:tcPr>
          <w:p w14:paraId="7D9DA75A" w14:textId="77777777" w:rsidR="00F965F4" w:rsidRDefault="00F965F4">
            <w:pPr>
              <w:pStyle w:val="rcBodyText"/>
              <w:rPr>
                <w:rFonts w:cs="Arial"/>
                <w:szCs w:val="22"/>
              </w:rPr>
            </w:pPr>
            <w:r>
              <w:rPr>
                <w:rFonts w:cs="Arial"/>
                <w:szCs w:val="22"/>
              </w:rPr>
              <w:t>E</w:t>
            </w:r>
          </w:p>
        </w:tc>
        <w:tc>
          <w:tcPr>
            <w:tcW w:w="5390" w:type="dxa"/>
            <w:tcBorders>
              <w:top w:val="single" w:sz="4" w:space="0" w:color="auto"/>
              <w:left w:val="single" w:sz="4" w:space="0" w:color="auto"/>
              <w:bottom w:val="single" w:sz="4" w:space="0" w:color="auto"/>
              <w:right w:val="single" w:sz="4" w:space="0" w:color="auto"/>
            </w:tcBorders>
            <w:hideMark/>
          </w:tcPr>
          <w:p w14:paraId="242A12B2" w14:textId="77777777" w:rsidR="00F965F4" w:rsidRDefault="00F965F4">
            <w:pPr>
              <w:rPr>
                <w:rFonts w:cs="Arial"/>
                <w:szCs w:val="22"/>
              </w:rPr>
            </w:pPr>
            <w:r>
              <w:rPr>
                <w:rFonts w:cs="Arial"/>
                <w:i/>
                <w:iCs/>
                <w:szCs w:val="22"/>
              </w:rPr>
              <w:t>Site Plan,</w:t>
            </w:r>
            <w:r>
              <w:rPr>
                <w:rFonts w:cs="Arial"/>
                <w:szCs w:val="22"/>
              </w:rPr>
              <w:t xml:space="preserve"> sheet 3 of 7, prepared by Westera Partners </w:t>
            </w:r>
          </w:p>
        </w:tc>
        <w:tc>
          <w:tcPr>
            <w:tcW w:w="1419" w:type="dxa"/>
            <w:tcBorders>
              <w:top w:val="single" w:sz="4" w:space="0" w:color="auto"/>
              <w:left w:val="single" w:sz="4" w:space="0" w:color="auto"/>
              <w:bottom w:val="single" w:sz="4" w:space="0" w:color="auto"/>
              <w:right w:val="single" w:sz="4" w:space="0" w:color="auto"/>
            </w:tcBorders>
            <w:hideMark/>
          </w:tcPr>
          <w:p w14:paraId="7D1BF8D3" w14:textId="77777777" w:rsidR="00F965F4" w:rsidRDefault="00F965F4">
            <w:pPr>
              <w:rPr>
                <w:rFonts w:cs="Arial"/>
                <w:szCs w:val="22"/>
              </w:rPr>
            </w:pPr>
            <w:r>
              <w:rPr>
                <w:rFonts w:cs="Arial"/>
                <w:szCs w:val="22"/>
              </w:rPr>
              <w:t>25/06/2021</w:t>
            </w:r>
          </w:p>
        </w:tc>
      </w:tr>
      <w:tr w:rsidR="00F965F4" w14:paraId="0C2FC68F" w14:textId="77777777" w:rsidTr="002422C3">
        <w:trPr>
          <w:trHeight w:val="510"/>
        </w:trPr>
        <w:tc>
          <w:tcPr>
            <w:tcW w:w="1272" w:type="dxa"/>
            <w:tcBorders>
              <w:top w:val="single" w:sz="4" w:space="0" w:color="auto"/>
              <w:left w:val="single" w:sz="4" w:space="0" w:color="auto"/>
              <w:bottom w:val="single" w:sz="4" w:space="0" w:color="auto"/>
              <w:right w:val="single" w:sz="4" w:space="0" w:color="auto"/>
            </w:tcBorders>
            <w:hideMark/>
          </w:tcPr>
          <w:p w14:paraId="7F6109DB" w14:textId="77777777" w:rsidR="00F965F4" w:rsidRDefault="00F965F4">
            <w:pPr>
              <w:pStyle w:val="rcBodyText"/>
              <w:rPr>
                <w:rFonts w:cs="Arial"/>
                <w:szCs w:val="22"/>
              </w:rPr>
            </w:pPr>
            <w:r>
              <w:rPr>
                <w:rFonts w:cs="Arial"/>
                <w:szCs w:val="22"/>
              </w:rPr>
              <w:t xml:space="preserve">S20/081 C </w:t>
            </w:r>
          </w:p>
        </w:tc>
        <w:tc>
          <w:tcPr>
            <w:tcW w:w="709" w:type="dxa"/>
            <w:tcBorders>
              <w:top w:val="single" w:sz="4" w:space="0" w:color="auto"/>
              <w:left w:val="single" w:sz="4" w:space="0" w:color="auto"/>
              <w:bottom w:val="single" w:sz="4" w:space="0" w:color="auto"/>
              <w:right w:val="single" w:sz="4" w:space="0" w:color="auto"/>
            </w:tcBorders>
            <w:hideMark/>
          </w:tcPr>
          <w:p w14:paraId="48C415C9" w14:textId="77777777" w:rsidR="00F965F4" w:rsidRDefault="00F965F4">
            <w:pPr>
              <w:pStyle w:val="rcBodyText"/>
              <w:rPr>
                <w:rFonts w:cs="Arial"/>
                <w:szCs w:val="22"/>
              </w:rPr>
            </w:pPr>
            <w:r>
              <w:rPr>
                <w:rFonts w:cs="Arial"/>
                <w:szCs w:val="22"/>
              </w:rPr>
              <w:t>D</w:t>
            </w:r>
          </w:p>
        </w:tc>
        <w:tc>
          <w:tcPr>
            <w:tcW w:w="5390" w:type="dxa"/>
            <w:tcBorders>
              <w:top w:val="single" w:sz="4" w:space="0" w:color="auto"/>
              <w:left w:val="single" w:sz="4" w:space="0" w:color="auto"/>
              <w:bottom w:val="single" w:sz="4" w:space="0" w:color="auto"/>
              <w:right w:val="single" w:sz="4" w:space="0" w:color="auto"/>
            </w:tcBorders>
            <w:hideMark/>
          </w:tcPr>
          <w:p w14:paraId="2584AA58" w14:textId="77777777" w:rsidR="00F965F4" w:rsidRDefault="00F965F4">
            <w:pPr>
              <w:rPr>
                <w:rFonts w:cs="Arial"/>
                <w:szCs w:val="22"/>
              </w:rPr>
            </w:pPr>
            <w:r>
              <w:rPr>
                <w:rFonts w:cs="Arial"/>
                <w:i/>
                <w:iCs/>
                <w:szCs w:val="22"/>
              </w:rPr>
              <w:t>Civil Works Plan 1 of 3,</w:t>
            </w:r>
            <w:r>
              <w:rPr>
                <w:rFonts w:cs="Arial"/>
                <w:szCs w:val="22"/>
              </w:rPr>
              <w:t xml:space="preserve"> sheet 4 of 7, prepared by Westera Partners </w:t>
            </w:r>
          </w:p>
        </w:tc>
        <w:tc>
          <w:tcPr>
            <w:tcW w:w="1419" w:type="dxa"/>
            <w:tcBorders>
              <w:top w:val="single" w:sz="4" w:space="0" w:color="auto"/>
              <w:left w:val="single" w:sz="4" w:space="0" w:color="auto"/>
              <w:bottom w:val="single" w:sz="4" w:space="0" w:color="auto"/>
              <w:right w:val="single" w:sz="4" w:space="0" w:color="auto"/>
            </w:tcBorders>
            <w:hideMark/>
          </w:tcPr>
          <w:p w14:paraId="6D87C224" w14:textId="77777777" w:rsidR="00F965F4" w:rsidRDefault="00F965F4">
            <w:pPr>
              <w:rPr>
                <w:rFonts w:cs="Arial"/>
                <w:szCs w:val="22"/>
              </w:rPr>
            </w:pPr>
            <w:r>
              <w:rPr>
                <w:rFonts w:cs="Arial"/>
                <w:szCs w:val="22"/>
              </w:rPr>
              <w:t>25/06/2021</w:t>
            </w:r>
          </w:p>
        </w:tc>
      </w:tr>
      <w:tr w:rsidR="00F965F4" w14:paraId="0B6522E8" w14:textId="77777777" w:rsidTr="002422C3">
        <w:trPr>
          <w:trHeight w:val="510"/>
        </w:trPr>
        <w:tc>
          <w:tcPr>
            <w:tcW w:w="1272" w:type="dxa"/>
            <w:tcBorders>
              <w:top w:val="single" w:sz="4" w:space="0" w:color="auto"/>
              <w:left w:val="single" w:sz="4" w:space="0" w:color="auto"/>
              <w:bottom w:val="single" w:sz="4" w:space="0" w:color="auto"/>
              <w:right w:val="single" w:sz="4" w:space="0" w:color="auto"/>
            </w:tcBorders>
            <w:hideMark/>
          </w:tcPr>
          <w:p w14:paraId="1FE10995" w14:textId="77777777" w:rsidR="00F965F4" w:rsidRDefault="00F965F4">
            <w:pPr>
              <w:pStyle w:val="rcBodyText"/>
              <w:rPr>
                <w:rFonts w:cs="Arial"/>
                <w:szCs w:val="22"/>
              </w:rPr>
            </w:pPr>
            <w:r>
              <w:rPr>
                <w:rFonts w:cs="Arial"/>
                <w:szCs w:val="22"/>
              </w:rPr>
              <w:t xml:space="preserve">S20/081 C </w:t>
            </w:r>
          </w:p>
        </w:tc>
        <w:tc>
          <w:tcPr>
            <w:tcW w:w="709" w:type="dxa"/>
            <w:tcBorders>
              <w:top w:val="single" w:sz="4" w:space="0" w:color="auto"/>
              <w:left w:val="single" w:sz="4" w:space="0" w:color="auto"/>
              <w:bottom w:val="single" w:sz="4" w:space="0" w:color="auto"/>
              <w:right w:val="single" w:sz="4" w:space="0" w:color="auto"/>
            </w:tcBorders>
            <w:hideMark/>
          </w:tcPr>
          <w:p w14:paraId="1739645C" w14:textId="77777777" w:rsidR="00F965F4" w:rsidRDefault="00F965F4">
            <w:pPr>
              <w:pStyle w:val="rcBodyText"/>
              <w:rPr>
                <w:rFonts w:cs="Arial"/>
                <w:szCs w:val="22"/>
              </w:rPr>
            </w:pPr>
            <w:r>
              <w:rPr>
                <w:rFonts w:cs="Arial"/>
                <w:szCs w:val="22"/>
              </w:rPr>
              <w:t>C</w:t>
            </w:r>
          </w:p>
        </w:tc>
        <w:tc>
          <w:tcPr>
            <w:tcW w:w="5390" w:type="dxa"/>
            <w:tcBorders>
              <w:top w:val="single" w:sz="4" w:space="0" w:color="auto"/>
              <w:left w:val="single" w:sz="4" w:space="0" w:color="auto"/>
              <w:bottom w:val="single" w:sz="4" w:space="0" w:color="auto"/>
              <w:right w:val="single" w:sz="4" w:space="0" w:color="auto"/>
            </w:tcBorders>
            <w:hideMark/>
          </w:tcPr>
          <w:p w14:paraId="0FCBDEFD" w14:textId="77777777" w:rsidR="00F965F4" w:rsidRDefault="00F965F4">
            <w:pPr>
              <w:rPr>
                <w:rFonts w:cs="Arial"/>
                <w:szCs w:val="22"/>
              </w:rPr>
            </w:pPr>
            <w:r>
              <w:rPr>
                <w:rFonts w:cs="Arial"/>
                <w:i/>
                <w:iCs/>
                <w:szCs w:val="22"/>
              </w:rPr>
              <w:t>Civil Works Plan 2 of 3,</w:t>
            </w:r>
            <w:r>
              <w:rPr>
                <w:rFonts w:cs="Arial"/>
                <w:szCs w:val="22"/>
              </w:rPr>
              <w:t xml:space="preserve"> sheet 5 of 7, prepared by Westera Partners </w:t>
            </w:r>
          </w:p>
        </w:tc>
        <w:tc>
          <w:tcPr>
            <w:tcW w:w="1419" w:type="dxa"/>
            <w:tcBorders>
              <w:top w:val="single" w:sz="4" w:space="0" w:color="auto"/>
              <w:left w:val="single" w:sz="4" w:space="0" w:color="auto"/>
              <w:bottom w:val="single" w:sz="4" w:space="0" w:color="auto"/>
              <w:right w:val="single" w:sz="4" w:space="0" w:color="auto"/>
            </w:tcBorders>
            <w:hideMark/>
          </w:tcPr>
          <w:p w14:paraId="1B3640EA" w14:textId="77777777" w:rsidR="00F965F4" w:rsidRDefault="00F965F4">
            <w:pPr>
              <w:rPr>
                <w:rFonts w:cs="Arial"/>
                <w:szCs w:val="22"/>
              </w:rPr>
            </w:pPr>
            <w:r>
              <w:rPr>
                <w:rFonts w:cs="Arial"/>
                <w:szCs w:val="22"/>
              </w:rPr>
              <w:t>25/06/2021</w:t>
            </w:r>
          </w:p>
        </w:tc>
      </w:tr>
      <w:tr w:rsidR="00F965F4" w14:paraId="73A247D0" w14:textId="77777777" w:rsidTr="002422C3">
        <w:trPr>
          <w:trHeight w:val="510"/>
        </w:trPr>
        <w:tc>
          <w:tcPr>
            <w:tcW w:w="1272" w:type="dxa"/>
            <w:tcBorders>
              <w:top w:val="single" w:sz="4" w:space="0" w:color="auto"/>
              <w:left w:val="single" w:sz="4" w:space="0" w:color="auto"/>
              <w:bottom w:val="single" w:sz="4" w:space="0" w:color="auto"/>
              <w:right w:val="single" w:sz="4" w:space="0" w:color="auto"/>
            </w:tcBorders>
            <w:hideMark/>
          </w:tcPr>
          <w:p w14:paraId="41F8E636" w14:textId="77777777" w:rsidR="00F965F4" w:rsidRDefault="00F965F4">
            <w:pPr>
              <w:pStyle w:val="rcBodyText"/>
              <w:rPr>
                <w:rFonts w:cs="Arial"/>
                <w:szCs w:val="22"/>
              </w:rPr>
            </w:pPr>
            <w:r>
              <w:rPr>
                <w:rFonts w:cs="Arial"/>
                <w:szCs w:val="22"/>
              </w:rPr>
              <w:lastRenderedPageBreak/>
              <w:t xml:space="preserve">S20/081 C </w:t>
            </w:r>
          </w:p>
        </w:tc>
        <w:tc>
          <w:tcPr>
            <w:tcW w:w="709" w:type="dxa"/>
            <w:tcBorders>
              <w:top w:val="single" w:sz="4" w:space="0" w:color="auto"/>
              <w:left w:val="single" w:sz="4" w:space="0" w:color="auto"/>
              <w:bottom w:val="single" w:sz="4" w:space="0" w:color="auto"/>
              <w:right w:val="single" w:sz="4" w:space="0" w:color="auto"/>
            </w:tcBorders>
            <w:hideMark/>
          </w:tcPr>
          <w:p w14:paraId="04A48DD9" w14:textId="77777777" w:rsidR="00F965F4" w:rsidRDefault="00F965F4">
            <w:pPr>
              <w:pStyle w:val="rcBodyText"/>
              <w:rPr>
                <w:rFonts w:cs="Arial"/>
                <w:szCs w:val="22"/>
              </w:rPr>
            </w:pPr>
            <w:r>
              <w:rPr>
                <w:rFonts w:cs="Arial"/>
                <w:szCs w:val="22"/>
              </w:rPr>
              <w:t>E</w:t>
            </w:r>
          </w:p>
        </w:tc>
        <w:tc>
          <w:tcPr>
            <w:tcW w:w="5390" w:type="dxa"/>
            <w:tcBorders>
              <w:top w:val="single" w:sz="4" w:space="0" w:color="auto"/>
              <w:left w:val="single" w:sz="4" w:space="0" w:color="auto"/>
              <w:bottom w:val="single" w:sz="4" w:space="0" w:color="auto"/>
              <w:right w:val="single" w:sz="4" w:space="0" w:color="auto"/>
            </w:tcBorders>
            <w:hideMark/>
          </w:tcPr>
          <w:p w14:paraId="37E26459" w14:textId="77777777" w:rsidR="00F965F4" w:rsidRDefault="00F965F4">
            <w:pPr>
              <w:rPr>
                <w:rFonts w:cs="Arial"/>
                <w:szCs w:val="22"/>
              </w:rPr>
            </w:pPr>
            <w:r>
              <w:rPr>
                <w:rFonts w:cs="Arial"/>
                <w:i/>
                <w:iCs/>
                <w:szCs w:val="22"/>
              </w:rPr>
              <w:t>Civil Works Plan 3 of 3,</w:t>
            </w:r>
            <w:r>
              <w:rPr>
                <w:rFonts w:cs="Arial"/>
                <w:szCs w:val="22"/>
              </w:rPr>
              <w:t xml:space="preserve"> sheet 6 of 7, prepared by Westera Partners </w:t>
            </w:r>
          </w:p>
        </w:tc>
        <w:tc>
          <w:tcPr>
            <w:tcW w:w="1419" w:type="dxa"/>
            <w:tcBorders>
              <w:top w:val="single" w:sz="4" w:space="0" w:color="auto"/>
              <w:left w:val="single" w:sz="4" w:space="0" w:color="auto"/>
              <w:bottom w:val="single" w:sz="4" w:space="0" w:color="auto"/>
              <w:right w:val="single" w:sz="4" w:space="0" w:color="auto"/>
            </w:tcBorders>
            <w:hideMark/>
          </w:tcPr>
          <w:p w14:paraId="03306BC0" w14:textId="77777777" w:rsidR="00F965F4" w:rsidRDefault="00F965F4">
            <w:pPr>
              <w:rPr>
                <w:rFonts w:cs="Arial"/>
                <w:szCs w:val="22"/>
              </w:rPr>
            </w:pPr>
            <w:r>
              <w:rPr>
                <w:rFonts w:cs="Arial"/>
                <w:szCs w:val="22"/>
              </w:rPr>
              <w:t>25/06/2021</w:t>
            </w:r>
          </w:p>
        </w:tc>
      </w:tr>
      <w:tr w:rsidR="00F965F4" w14:paraId="59E72C70" w14:textId="77777777" w:rsidTr="002422C3">
        <w:trPr>
          <w:trHeight w:val="510"/>
        </w:trPr>
        <w:tc>
          <w:tcPr>
            <w:tcW w:w="1272" w:type="dxa"/>
            <w:tcBorders>
              <w:top w:val="single" w:sz="4" w:space="0" w:color="auto"/>
              <w:left w:val="single" w:sz="4" w:space="0" w:color="auto"/>
              <w:bottom w:val="single" w:sz="4" w:space="0" w:color="auto"/>
              <w:right w:val="single" w:sz="4" w:space="0" w:color="auto"/>
            </w:tcBorders>
            <w:hideMark/>
          </w:tcPr>
          <w:p w14:paraId="33A9F711" w14:textId="77777777" w:rsidR="00F965F4" w:rsidRDefault="00F965F4">
            <w:pPr>
              <w:pStyle w:val="rcBodyText"/>
              <w:rPr>
                <w:rFonts w:cs="Arial"/>
                <w:szCs w:val="22"/>
              </w:rPr>
            </w:pPr>
            <w:r>
              <w:rPr>
                <w:rFonts w:cs="Arial"/>
                <w:szCs w:val="22"/>
              </w:rPr>
              <w:t xml:space="preserve">S20/081 C </w:t>
            </w:r>
          </w:p>
        </w:tc>
        <w:tc>
          <w:tcPr>
            <w:tcW w:w="709" w:type="dxa"/>
            <w:tcBorders>
              <w:top w:val="single" w:sz="4" w:space="0" w:color="auto"/>
              <w:left w:val="single" w:sz="4" w:space="0" w:color="auto"/>
              <w:bottom w:val="single" w:sz="4" w:space="0" w:color="auto"/>
              <w:right w:val="single" w:sz="4" w:space="0" w:color="auto"/>
            </w:tcBorders>
            <w:hideMark/>
          </w:tcPr>
          <w:p w14:paraId="1A78255D" w14:textId="77777777" w:rsidR="00F965F4" w:rsidRDefault="00F965F4">
            <w:pPr>
              <w:pStyle w:val="rcBodyText"/>
              <w:rPr>
                <w:rFonts w:cs="Arial"/>
                <w:szCs w:val="22"/>
              </w:rPr>
            </w:pPr>
            <w:r>
              <w:rPr>
                <w:rFonts w:cs="Arial"/>
                <w:szCs w:val="22"/>
              </w:rPr>
              <w:t>B</w:t>
            </w:r>
          </w:p>
        </w:tc>
        <w:tc>
          <w:tcPr>
            <w:tcW w:w="5390" w:type="dxa"/>
            <w:tcBorders>
              <w:top w:val="single" w:sz="4" w:space="0" w:color="auto"/>
              <w:left w:val="single" w:sz="4" w:space="0" w:color="auto"/>
              <w:bottom w:val="single" w:sz="4" w:space="0" w:color="auto"/>
              <w:right w:val="single" w:sz="4" w:space="0" w:color="auto"/>
            </w:tcBorders>
            <w:hideMark/>
          </w:tcPr>
          <w:p w14:paraId="0E3E20A1" w14:textId="77777777" w:rsidR="00F965F4" w:rsidRDefault="00F965F4">
            <w:pPr>
              <w:rPr>
                <w:rFonts w:cs="Arial"/>
                <w:szCs w:val="22"/>
              </w:rPr>
            </w:pPr>
            <w:r>
              <w:rPr>
                <w:rFonts w:cs="Arial"/>
                <w:i/>
                <w:iCs/>
                <w:szCs w:val="22"/>
              </w:rPr>
              <w:t>Stormwater Details,</w:t>
            </w:r>
            <w:r>
              <w:rPr>
                <w:rFonts w:cs="Arial"/>
                <w:szCs w:val="22"/>
              </w:rPr>
              <w:t xml:space="preserve"> sheet 7 of 7, prepared by Westera Partners </w:t>
            </w:r>
          </w:p>
        </w:tc>
        <w:tc>
          <w:tcPr>
            <w:tcW w:w="1419" w:type="dxa"/>
            <w:tcBorders>
              <w:top w:val="single" w:sz="4" w:space="0" w:color="auto"/>
              <w:left w:val="single" w:sz="4" w:space="0" w:color="auto"/>
              <w:bottom w:val="single" w:sz="4" w:space="0" w:color="auto"/>
              <w:right w:val="single" w:sz="4" w:space="0" w:color="auto"/>
            </w:tcBorders>
            <w:hideMark/>
          </w:tcPr>
          <w:p w14:paraId="00766AAD" w14:textId="77777777" w:rsidR="00F965F4" w:rsidRDefault="00F965F4">
            <w:pPr>
              <w:rPr>
                <w:rFonts w:cs="Arial"/>
                <w:szCs w:val="22"/>
              </w:rPr>
            </w:pPr>
            <w:r>
              <w:rPr>
                <w:rFonts w:cs="Arial"/>
                <w:szCs w:val="22"/>
              </w:rPr>
              <w:t>24/06/2021</w:t>
            </w:r>
          </w:p>
        </w:tc>
      </w:tr>
      <w:tr w:rsidR="00F965F4" w14:paraId="13E66EC8" w14:textId="77777777" w:rsidTr="002422C3">
        <w:trPr>
          <w:trHeight w:val="510"/>
        </w:trPr>
        <w:tc>
          <w:tcPr>
            <w:tcW w:w="1272" w:type="dxa"/>
            <w:tcBorders>
              <w:top w:val="single" w:sz="4" w:space="0" w:color="auto"/>
              <w:left w:val="single" w:sz="4" w:space="0" w:color="auto"/>
              <w:bottom w:val="single" w:sz="4" w:space="0" w:color="auto"/>
              <w:right w:val="single" w:sz="4" w:space="0" w:color="auto"/>
            </w:tcBorders>
            <w:hideMark/>
          </w:tcPr>
          <w:p w14:paraId="1679DEA9" w14:textId="77777777" w:rsidR="00F965F4" w:rsidRDefault="00F965F4">
            <w:pPr>
              <w:pStyle w:val="rcBodyText"/>
              <w:rPr>
                <w:rFonts w:cs="Arial"/>
                <w:szCs w:val="22"/>
              </w:rPr>
            </w:pPr>
            <w:r>
              <w:rPr>
                <w:rFonts w:cs="Arial"/>
                <w:szCs w:val="22"/>
              </w:rPr>
              <w:t xml:space="preserve">S20/081 E </w:t>
            </w:r>
          </w:p>
        </w:tc>
        <w:tc>
          <w:tcPr>
            <w:tcW w:w="709" w:type="dxa"/>
            <w:tcBorders>
              <w:top w:val="single" w:sz="4" w:space="0" w:color="auto"/>
              <w:left w:val="single" w:sz="4" w:space="0" w:color="auto"/>
              <w:bottom w:val="single" w:sz="4" w:space="0" w:color="auto"/>
              <w:right w:val="single" w:sz="4" w:space="0" w:color="auto"/>
            </w:tcBorders>
            <w:hideMark/>
          </w:tcPr>
          <w:p w14:paraId="5C5FC884" w14:textId="77777777" w:rsidR="00F965F4" w:rsidRDefault="00F965F4">
            <w:pPr>
              <w:pStyle w:val="rcBodyText"/>
              <w:rPr>
                <w:rFonts w:cs="Arial"/>
                <w:szCs w:val="22"/>
              </w:rPr>
            </w:pPr>
            <w:r>
              <w:rPr>
                <w:rFonts w:cs="Arial"/>
                <w:szCs w:val="22"/>
              </w:rPr>
              <w:t>E</w:t>
            </w:r>
          </w:p>
        </w:tc>
        <w:tc>
          <w:tcPr>
            <w:tcW w:w="5390" w:type="dxa"/>
            <w:tcBorders>
              <w:top w:val="single" w:sz="4" w:space="0" w:color="auto"/>
              <w:left w:val="single" w:sz="4" w:space="0" w:color="auto"/>
              <w:bottom w:val="single" w:sz="4" w:space="0" w:color="auto"/>
              <w:right w:val="single" w:sz="4" w:space="0" w:color="auto"/>
            </w:tcBorders>
            <w:hideMark/>
          </w:tcPr>
          <w:p w14:paraId="619C68F6" w14:textId="77777777" w:rsidR="00F965F4" w:rsidRDefault="00F965F4">
            <w:pPr>
              <w:rPr>
                <w:rFonts w:cs="Arial"/>
                <w:szCs w:val="22"/>
              </w:rPr>
            </w:pPr>
            <w:r>
              <w:rPr>
                <w:rFonts w:cs="Arial"/>
                <w:i/>
                <w:iCs/>
                <w:szCs w:val="22"/>
              </w:rPr>
              <w:t>Earthworks Plan,</w:t>
            </w:r>
            <w:r>
              <w:rPr>
                <w:rFonts w:cs="Arial"/>
                <w:szCs w:val="22"/>
              </w:rPr>
              <w:t xml:space="preserve"> sheet 1 of 2, prepared by Westera Partners </w:t>
            </w:r>
          </w:p>
        </w:tc>
        <w:tc>
          <w:tcPr>
            <w:tcW w:w="1419" w:type="dxa"/>
            <w:tcBorders>
              <w:top w:val="single" w:sz="4" w:space="0" w:color="auto"/>
              <w:left w:val="single" w:sz="4" w:space="0" w:color="auto"/>
              <w:bottom w:val="single" w:sz="4" w:space="0" w:color="auto"/>
              <w:right w:val="single" w:sz="4" w:space="0" w:color="auto"/>
            </w:tcBorders>
            <w:hideMark/>
          </w:tcPr>
          <w:p w14:paraId="48738C9E" w14:textId="77777777" w:rsidR="00F965F4" w:rsidRDefault="00F965F4">
            <w:pPr>
              <w:rPr>
                <w:rFonts w:cs="Arial"/>
                <w:szCs w:val="22"/>
              </w:rPr>
            </w:pPr>
            <w:r>
              <w:rPr>
                <w:rFonts w:cs="Arial"/>
                <w:szCs w:val="22"/>
              </w:rPr>
              <w:t>25/06/2021</w:t>
            </w:r>
          </w:p>
        </w:tc>
      </w:tr>
      <w:tr w:rsidR="00F965F4" w14:paraId="7880E011" w14:textId="77777777" w:rsidTr="002422C3">
        <w:trPr>
          <w:trHeight w:val="510"/>
        </w:trPr>
        <w:tc>
          <w:tcPr>
            <w:tcW w:w="1272" w:type="dxa"/>
            <w:tcBorders>
              <w:top w:val="single" w:sz="4" w:space="0" w:color="auto"/>
              <w:left w:val="single" w:sz="4" w:space="0" w:color="auto"/>
              <w:bottom w:val="single" w:sz="4" w:space="0" w:color="auto"/>
              <w:right w:val="single" w:sz="4" w:space="0" w:color="auto"/>
            </w:tcBorders>
            <w:hideMark/>
          </w:tcPr>
          <w:p w14:paraId="0A3498EB" w14:textId="77777777" w:rsidR="00F965F4" w:rsidRDefault="00F965F4">
            <w:pPr>
              <w:pStyle w:val="rcBodyText"/>
              <w:rPr>
                <w:rFonts w:cs="Arial"/>
                <w:szCs w:val="22"/>
              </w:rPr>
            </w:pPr>
            <w:r>
              <w:rPr>
                <w:rFonts w:cs="Arial"/>
                <w:szCs w:val="22"/>
              </w:rPr>
              <w:t xml:space="preserve">S20/081 E </w:t>
            </w:r>
          </w:p>
        </w:tc>
        <w:tc>
          <w:tcPr>
            <w:tcW w:w="709" w:type="dxa"/>
            <w:tcBorders>
              <w:top w:val="single" w:sz="4" w:space="0" w:color="auto"/>
              <w:left w:val="single" w:sz="4" w:space="0" w:color="auto"/>
              <w:bottom w:val="single" w:sz="4" w:space="0" w:color="auto"/>
              <w:right w:val="single" w:sz="4" w:space="0" w:color="auto"/>
            </w:tcBorders>
            <w:hideMark/>
          </w:tcPr>
          <w:p w14:paraId="1EDB33EF" w14:textId="77777777" w:rsidR="00F965F4" w:rsidRDefault="00F965F4">
            <w:pPr>
              <w:pStyle w:val="rcBodyText"/>
              <w:rPr>
                <w:rFonts w:cs="Arial"/>
                <w:szCs w:val="22"/>
              </w:rPr>
            </w:pPr>
            <w:r>
              <w:rPr>
                <w:rFonts w:cs="Arial"/>
                <w:szCs w:val="22"/>
              </w:rPr>
              <w:t>B</w:t>
            </w:r>
          </w:p>
        </w:tc>
        <w:tc>
          <w:tcPr>
            <w:tcW w:w="5390" w:type="dxa"/>
            <w:tcBorders>
              <w:top w:val="single" w:sz="4" w:space="0" w:color="auto"/>
              <w:left w:val="single" w:sz="4" w:space="0" w:color="auto"/>
              <w:bottom w:val="single" w:sz="4" w:space="0" w:color="auto"/>
              <w:right w:val="single" w:sz="4" w:space="0" w:color="auto"/>
            </w:tcBorders>
            <w:hideMark/>
          </w:tcPr>
          <w:p w14:paraId="5A641304" w14:textId="77777777" w:rsidR="00F965F4" w:rsidRDefault="00F965F4">
            <w:pPr>
              <w:rPr>
                <w:rFonts w:cs="Arial"/>
                <w:szCs w:val="22"/>
              </w:rPr>
            </w:pPr>
            <w:r>
              <w:rPr>
                <w:rFonts w:cs="Arial"/>
                <w:i/>
                <w:iCs/>
                <w:szCs w:val="22"/>
              </w:rPr>
              <w:t>Earthworks Sections,</w:t>
            </w:r>
            <w:r>
              <w:rPr>
                <w:rFonts w:cs="Arial"/>
                <w:szCs w:val="22"/>
              </w:rPr>
              <w:t xml:space="preserve"> sheet 2 of 2, prepared by Westera Partners </w:t>
            </w:r>
          </w:p>
        </w:tc>
        <w:tc>
          <w:tcPr>
            <w:tcW w:w="1419" w:type="dxa"/>
            <w:tcBorders>
              <w:top w:val="single" w:sz="4" w:space="0" w:color="auto"/>
              <w:left w:val="single" w:sz="4" w:space="0" w:color="auto"/>
              <w:bottom w:val="single" w:sz="4" w:space="0" w:color="auto"/>
              <w:right w:val="single" w:sz="4" w:space="0" w:color="auto"/>
            </w:tcBorders>
            <w:hideMark/>
          </w:tcPr>
          <w:p w14:paraId="4C3A6D53" w14:textId="77777777" w:rsidR="00F965F4" w:rsidRDefault="00F965F4">
            <w:pPr>
              <w:rPr>
                <w:rFonts w:cs="Arial"/>
                <w:szCs w:val="22"/>
              </w:rPr>
            </w:pPr>
            <w:r>
              <w:rPr>
                <w:rFonts w:cs="Arial"/>
                <w:szCs w:val="22"/>
              </w:rPr>
              <w:t>1/06/2021</w:t>
            </w:r>
          </w:p>
        </w:tc>
      </w:tr>
    </w:tbl>
    <w:p w14:paraId="0320E0FE" w14:textId="61745D9A" w:rsidR="00F965F4" w:rsidRDefault="00F965F4" w:rsidP="00F965F4">
      <w:pPr>
        <w:pStyle w:val="rcBodyText"/>
      </w:pPr>
    </w:p>
    <w:p w14:paraId="1F642AA5" w14:textId="77777777" w:rsidR="00F965F4" w:rsidRDefault="00F965F4" w:rsidP="00F965F4">
      <w:pPr>
        <w:spacing w:before="60" w:after="60"/>
        <w:outlineLvl w:val="0"/>
      </w:pPr>
      <w:r>
        <w:rPr>
          <w:b/>
        </w:rPr>
        <w:t>Referenced Documents</w:t>
      </w: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2"/>
        <w:gridCol w:w="709"/>
        <w:gridCol w:w="5390"/>
        <w:gridCol w:w="1419"/>
      </w:tblGrid>
      <w:tr w:rsidR="00F965F4" w14:paraId="7D192744" w14:textId="77777777" w:rsidTr="00F965F4">
        <w:tc>
          <w:tcPr>
            <w:tcW w:w="1271" w:type="dxa"/>
            <w:tcBorders>
              <w:top w:val="single" w:sz="4" w:space="0" w:color="auto"/>
              <w:left w:val="single" w:sz="4" w:space="0" w:color="auto"/>
              <w:bottom w:val="single" w:sz="4" w:space="0" w:color="auto"/>
              <w:right w:val="single" w:sz="4" w:space="0" w:color="auto"/>
            </w:tcBorders>
            <w:shd w:val="clear" w:color="auto" w:fill="E6E6E6"/>
            <w:hideMark/>
          </w:tcPr>
          <w:p w14:paraId="60C4C286" w14:textId="77777777" w:rsidR="00F965F4" w:rsidRDefault="00F965F4">
            <w:pPr>
              <w:spacing w:before="60" w:after="60"/>
              <w:rPr>
                <w:b/>
              </w:rPr>
            </w:pPr>
            <w:r>
              <w:rPr>
                <w:b/>
              </w:rPr>
              <w:t>Doc No.</w:t>
            </w:r>
          </w:p>
        </w:tc>
        <w:tc>
          <w:tcPr>
            <w:tcW w:w="709" w:type="dxa"/>
            <w:tcBorders>
              <w:top w:val="single" w:sz="4" w:space="0" w:color="auto"/>
              <w:left w:val="single" w:sz="4" w:space="0" w:color="auto"/>
              <w:bottom w:val="single" w:sz="4" w:space="0" w:color="auto"/>
              <w:right w:val="single" w:sz="4" w:space="0" w:color="auto"/>
            </w:tcBorders>
            <w:shd w:val="clear" w:color="auto" w:fill="E6E6E6"/>
            <w:hideMark/>
          </w:tcPr>
          <w:p w14:paraId="77678391" w14:textId="77777777" w:rsidR="00F965F4" w:rsidRDefault="00F965F4">
            <w:pPr>
              <w:spacing w:before="60" w:after="60"/>
              <w:rPr>
                <w:b/>
              </w:rPr>
            </w:pPr>
            <w:r>
              <w:rPr>
                <w:b/>
              </w:rPr>
              <w:t>Rev.</w:t>
            </w:r>
          </w:p>
        </w:tc>
        <w:tc>
          <w:tcPr>
            <w:tcW w:w="5386" w:type="dxa"/>
            <w:tcBorders>
              <w:top w:val="single" w:sz="4" w:space="0" w:color="auto"/>
              <w:left w:val="single" w:sz="4" w:space="0" w:color="auto"/>
              <w:bottom w:val="single" w:sz="4" w:space="0" w:color="auto"/>
              <w:right w:val="single" w:sz="4" w:space="0" w:color="auto"/>
            </w:tcBorders>
            <w:shd w:val="clear" w:color="auto" w:fill="E6E6E6"/>
            <w:hideMark/>
          </w:tcPr>
          <w:p w14:paraId="592F394D" w14:textId="77777777" w:rsidR="00F965F4" w:rsidRDefault="00F965F4">
            <w:pPr>
              <w:spacing w:before="60" w:after="60"/>
              <w:rPr>
                <w:b/>
              </w:rPr>
            </w:pPr>
            <w:r>
              <w:rPr>
                <w:b/>
              </w:rPr>
              <w:t>Document Name</w:t>
            </w:r>
          </w:p>
        </w:tc>
        <w:tc>
          <w:tcPr>
            <w:tcW w:w="1418" w:type="dxa"/>
            <w:tcBorders>
              <w:top w:val="single" w:sz="4" w:space="0" w:color="auto"/>
              <w:left w:val="single" w:sz="4" w:space="0" w:color="auto"/>
              <w:bottom w:val="single" w:sz="4" w:space="0" w:color="auto"/>
              <w:right w:val="single" w:sz="4" w:space="0" w:color="auto"/>
            </w:tcBorders>
            <w:shd w:val="clear" w:color="auto" w:fill="E6E6E6"/>
            <w:hideMark/>
          </w:tcPr>
          <w:p w14:paraId="03B620E8" w14:textId="77777777" w:rsidR="00F965F4" w:rsidRDefault="00F965F4">
            <w:pPr>
              <w:spacing w:before="60" w:after="60"/>
              <w:rPr>
                <w:b/>
              </w:rPr>
            </w:pPr>
            <w:r>
              <w:rPr>
                <w:b/>
              </w:rPr>
              <w:t>Date</w:t>
            </w:r>
          </w:p>
        </w:tc>
      </w:tr>
      <w:tr w:rsidR="00F965F4" w14:paraId="10E1D572" w14:textId="77777777" w:rsidTr="00F965F4">
        <w:tc>
          <w:tcPr>
            <w:tcW w:w="1271" w:type="dxa"/>
            <w:tcBorders>
              <w:top w:val="single" w:sz="4" w:space="0" w:color="auto"/>
              <w:left w:val="single" w:sz="4" w:space="0" w:color="auto"/>
              <w:bottom w:val="single" w:sz="4" w:space="0" w:color="auto"/>
              <w:right w:val="single" w:sz="4" w:space="0" w:color="auto"/>
            </w:tcBorders>
            <w:hideMark/>
          </w:tcPr>
          <w:p w14:paraId="49044461" w14:textId="77777777" w:rsidR="00F965F4" w:rsidRDefault="00F965F4">
            <w:pPr>
              <w:pStyle w:val="rcBodyText"/>
            </w:pPr>
            <w:r>
              <w:rPr>
                <w:rFonts w:cs="Arial"/>
                <w:szCs w:val="22"/>
              </w:rPr>
              <w:t>ADG1152.20</w:t>
            </w:r>
            <w: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43C00DA3" w14:textId="77777777" w:rsidR="00F965F4" w:rsidRDefault="00F965F4">
            <w:pPr>
              <w:pStyle w:val="rcBodyText"/>
            </w:pPr>
            <w:r>
              <w:t>1</w:t>
            </w:r>
          </w:p>
        </w:tc>
        <w:tc>
          <w:tcPr>
            <w:tcW w:w="5386" w:type="dxa"/>
            <w:tcBorders>
              <w:top w:val="single" w:sz="4" w:space="0" w:color="auto"/>
              <w:left w:val="single" w:sz="4" w:space="0" w:color="auto"/>
              <w:bottom w:val="single" w:sz="4" w:space="0" w:color="auto"/>
              <w:right w:val="single" w:sz="4" w:space="0" w:color="auto"/>
            </w:tcBorders>
            <w:hideMark/>
          </w:tcPr>
          <w:p w14:paraId="39D7FC3C" w14:textId="77777777" w:rsidR="00F965F4" w:rsidRDefault="00F965F4">
            <w:pPr>
              <w:pStyle w:val="rcBodyText"/>
            </w:pPr>
            <w:r>
              <w:rPr>
                <w:rStyle w:val="Style2"/>
                <w:rFonts w:cs="Times New Roman"/>
              </w:rPr>
              <w:t>Dewatering Management Plan</w:t>
            </w:r>
            <w:r>
              <w:t xml:space="preserve">, prepared by </w:t>
            </w:r>
            <w:r>
              <w:rPr>
                <w:rFonts w:cs="Arial"/>
                <w:szCs w:val="22"/>
              </w:rPr>
              <w:t>ADG Consulting Pty Ltd</w:t>
            </w:r>
          </w:p>
        </w:tc>
        <w:tc>
          <w:tcPr>
            <w:tcW w:w="1418" w:type="dxa"/>
            <w:tcBorders>
              <w:top w:val="single" w:sz="4" w:space="0" w:color="auto"/>
              <w:left w:val="single" w:sz="4" w:space="0" w:color="auto"/>
              <w:bottom w:val="single" w:sz="4" w:space="0" w:color="auto"/>
              <w:right w:val="single" w:sz="4" w:space="0" w:color="auto"/>
            </w:tcBorders>
            <w:hideMark/>
          </w:tcPr>
          <w:p w14:paraId="2DF4515B" w14:textId="77777777" w:rsidR="00F965F4" w:rsidRDefault="00F965F4">
            <w:r>
              <w:rPr>
                <w:rFonts w:cs="Arial"/>
                <w:szCs w:val="22"/>
              </w:rPr>
              <w:t>29/04/2021</w:t>
            </w:r>
          </w:p>
        </w:tc>
      </w:tr>
      <w:tr w:rsidR="00F965F4" w14:paraId="118D0D7B" w14:textId="77777777" w:rsidTr="00F965F4">
        <w:tc>
          <w:tcPr>
            <w:tcW w:w="1271" w:type="dxa"/>
            <w:tcBorders>
              <w:top w:val="single" w:sz="4" w:space="0" w:color="auto"/>
              <w:left w:val="single" w:sz="4" w:space="0" w:color="auto"/>
              <w:bottom w:val="single" w:sz="4" w:space="0" w:color="auto"/>
              <w:right w:val="single" w:sz="4" w:space="0" w:color="auto"/>
            </w:tcBorders>
            <w:hideMark/>
          </w:tcPr>
          <w:p w14:paraId="42C63188" w14:textId="77777777" w:rsidR="00F965F4" w:rsidRDefault="00F965F4">
            <w:pPr>
              <w:pStyle w:val="rcBodyText"/>
            </w:pPr>
            <w:r>
              <w:rPr>
                <w:rFonts w:cs="Arial"/>
                <w:szCs w:val="22"/>
              </w:rPr>
              <w:t>ADG1211.21</w:t>
            </w:r>
          </w:p>
        </w:tc>
        <w:tc>
          <w:tcPr>
            <w:tcW w:w="709" w:type="dxa"/>
            <w:tcBorders>
              <w:top w:val="single" w:sz="4" w:space="0" w:color="auto"/>
              <w:left w:val="single" w:sz="4" w:space="0" w:color="auto"/>
              <w:bottom w:val="single" w:sz="4" w:space="0" w:color="auto"/>
              <w:right w:val="single" w:sz="4" w:space="0" w:color="auto"/>
            </w:tcBorders>
            <w:hideMark/>
          </w:tcPr>
          <w:p w14:paraId="4867144F" w14:textId="77777777" w:rsidR="00F965F4" w:rsidRDefault="00F965F4">
            <w:pPr>
              <w:pStyle w:val="rcBodyText"/>
            </w:pPr>
            <w:r>
              <w:t>0</w:t>
            </w:r>
          </w:p>
        </w:tc>
        <w:tc>
          <w:tcPr>
            <w:tcW w:w="5386" w:type="dxa"/>
            <w:tcBorders>
              <w:top w:val="single" w:sz="4" w:space="0" w:color="auto"/>
              <w:left w:val="single" w:sz="4" w:space="0" w:color="auto"/>
              <w:bottom w:val="single" w:sz="4" w:space="0" w:color="auto"/>
              <w:right w:val="single" w:sz="4" w:space="0" w:color="auto"/>
            </w:tcBorders>
            <w:hideMark/>
          </w:tcPr>
          <w:p w14:paraId="3582F5BD" w14:textId="77777777" w:rsidR="00F965F4" w:rsidRDefault="00F965F4">
            <w:pPr>
              <w:pStyle w:val="rcBodyText"/>
            </w:pPr>
            <w:r>
              <w:rPr>
                <w:rStyle w:val="Style2"/>
                <w:rFonts w:cs="Times New Roman"/>
              </w:rPr>
              <w:t>Acid Sulfate Soil Management Plan</w:t>
            </w:r>
            <w:r>
              <w:t xml:space="preserve">, prepared by </w:t>
            </w:r>
            <w:r>
              <w:rPr>
                <w:rFonts w:cs="Arial"/>
                <w:szCs w:val="22"/>
              </w:rPr>
              <w:t>ADG Consulting Pty Ltd</w:t>
            </w:r>
          </w:p>
        </w:tc>
        <w:tc>
          <w:tcPr>
            <w:tcW w:w="1418" w:type="dxa"/>
            <w:tcBorders>
              <w:top w:val="single" w:sz="4" w:space="0" w:color="auto"/>
              <w:left w:val="single" w:sz="4" w:space="0" w:color="auto"/>
              <w:bottom w:val="single" w:sz="4" w:space="0" w:color="auto"/>
              <w:right w:val="single" w:sz="4" w:space="0" w:color="auto"/>
            </w:tcBorders>
            <w:hideMark/>
          </w:tcPr>
          <w:p w14:paraId="7C1A21BB" w14:textId="77777777" w:rsidR="00F965F4" w:rsidRDefault="00F965F4">
            <w:pPr>
              <w:spacing w:before="60" w:after="60"/>
            </w:pPr>
            <w:r>
              <w:rPr>
                <w:rFonts w:cs="Arial"/>
                <w:szCs w:val="22"/>
              </w:rPr>
              <w:t>29/04/2021</w:t>
            </w:r>
          </w:p>
        </w:tc>
      </w:tr>
    </w:tbl>
    <w:p w14:paraId="408403FB" w14:textId="5E8CDB16" w:rsidR="002422C3" w:rsidRDefault="002422C3" w:rsidP="00F965F4">
      <w:pPr>
        <w:jc w:val="left"/>
        <w:rPr>
          <w:szCs w:val="20"/>
          <w:lang w:eastAsia="en-US"/>
        </w:rPr>
      </w:pPr>
    </w:p>
    <w:p w14:paraId="47A44928" w14:textId="5508752C" w:rsidR="00F965F4" w:rsidRPr="00F965F4" w:rsidRDefault="00F965F4" w:rsidP="00F965F4">
      <w:pPr>
        <w:jc w:val="left"/>
        <w:rPr>
          <w:rFonts w:cs="Arial"/>
          <w:b/>
          <w:bCs/>
          <w:kern w:val="32"/>
          <w:szCs w:val="22"/>
        </w:rPr>
      </w:pPr>
      <w:r w:rsidRPr="00F965F4">
        <w:rPr>
          <w:b/>
          <w:bCs/>
        </w:rPr>
        <w:t>A</w:t>
      </w:r>
      <w:r w:rsidRPr="00F965F4">
        <w:rPr>
          <w:rFonts w:cs="Arial"/>
          <w:b/>
          <w:bCs/>
          <w:kern w:val="32"/>
          <w:szCs w:val="22"/>
        </w:rPr>
        <w:t>DVISORY NOTES</w:t>
      </w:r>
    </w:p>
    <w:bookmarkEnd w:id="184"/>
    <w:bookmarkEnd w:id="185"/>
    <w:bookmarkEnd w:id="186"/>
    <w:bookmarkEnd w:id="187"/>
    <w:bookmarkEnd w:id="188"/>
    <w:bookmarkEnd w:id="189"/>
    <w:bookmarkEnd w:id="190"/>
    <w:bookmarkEnd w:id="191"/>
    <w:bookmarkEnd w:id="192"/>
    <w:bookmarkEnd w:id="193"/>
    <w:bookmarkEnd w:id="194"/>
    <w:p w14:paraId="04975C66" w14:textId="77777777" w:rsidR="00F965F4" w:rsidRDefault="00F965F4" w:rsidP="00F965F4">
      <w:pPr>
        <w:rPr>
          <w:rFonts w:cs="Arial"/>
          <w:szCs w:val="22"/>
        </w:rPr>
      </w:pPr>
    </w:p>
    <w:p w14:paraId="3DC078DE" w14:textId="77777777" w:rsidR="00F965F4" w:rsidRDefault="00F965F4" w:rsidP="00F965F4">
      <w:pPr>
        <w:pStyle w:val="Heading"/>
        <w:jc w:val="both"/>
      </w:pPr>
      <w:bookmarkStart w:id="197" w:name="_Toc332010666"/>
      <w:r>
        <w:t>General</w:t>
      </w:r>
    </w:p>
    <w:p w14:paraId="1BE99EE3" w14:textId="77777777" w:rsidR="00F965F4" w:rsidRDefault="00F965F4" w:rsidP="00F965F4">
      <w:pPr>
        <w:autoSpaceDE w:val="0"/>
        <w:autoSpaceDN w:val="0"/>
        <w:adjustRightInd w:val="0"/>
        <w:ind w:left="567" w:hanging="567"/>
        <w:rPr>
          <w:rFonts w:cs="Arial"/>
          <w:color w:val="000000"/>
          <w:szCs w:val="22"/>
          <w:lang w:val="en-US"/>
        </w:rPr>
      </w:pPr>
    </w:p>
    <w:p w14:paraId="6C8133D1" w14:textId="77777777" w:rsidR="00F965F4" w:rsidRDefault="00F965F4" w:rsidP="00F965F4">
      <w:pPr>
        <w:pStyle w:val="advn"/>
      </w:pPr>
      <w:bookmarkStart w:id="198" w:name="_Hlk57812220"/>
      <w:r>
        <w:t xml:space="preserve">Council has undertaken an audit check of the Operational Works drawings in relation to the proposed works.  A detailed check of the calculations and drawings has not been undertaken, as they have been certified by a RPEQ.  The RPEQ bears full responsibility for all aspects of the engineering design.  Council reserves the right to require further amendments and/or additions at a later date, should design errors become apparent.  </w:t>
      </w:r>
    </w:p>
    <w:p w14:paraId="33ADD276" w14:textId="77777777" w:rsidR="00F965F4" w:rsidRDefault="00F965F4" w:rsidP="00F965F4">
      <w:pPr>
        <w:spacing w:after="120"/>
        <w:rPr>
          <w:rFonts w:cs="Arial"/>
          <w:szCs w:val="22"/>
        </w:rPr>
      </w:pPr>
      <w:bookmarkStart w:id="199" w:name="_Toc359318864"/>
      <w:bookmarkStart w:id="200" w:name="_Toc359321726"/>
      <w:bookmarkStart w:id="201" w:name="_Toc359321835"/>
      <w:bookmarkStart w:id="202" w:name="_Toc359321943"/>
      <w:bookmarkStart w:id="203" w:name="_Toc359322159"/>
      <w:bookmarkStart w:id="204" w:name="_Toc360187707"/>
      <w:bookmarkStart w:id="205" w:name="_Toc361920709"/>
      <w:bookmarkStart w:id="206" w:name="_Toc361920820"/>
      <w:bookmarkEnd w:id="198"/>
    </w:p>
    <w:p w14:paraId="2E6FC452" w14:textId="77777777" w:rsidR="00F965F4" w:rsidRDefault="00F965F4" w:rsidP="00F965F4">
      <w:pPr>
        <w:pStyle w:val="Heading"/>
        <w:jc w:val="both"/>
      </w:pPr>
      <w:r>
        <w:t>Aboriginal Cultural Heritage Act 2003</w:t>
      </w:r>
    </w:p>
    <w:p w14:paraId="10CB5442" w14:textId="77777777" w:rsidR="00F965F4" w:rsidRDefault="00F965F4" w:rsidP="00F965F4">
      <w:pPr>
        <w:rPr>
          <w:rFonts w:cs="Arial"/>
          <w:szCs w:val="22"/>
        </w:rPr>
      </w:pPr>
    </w:p>
    <w:p w14:paraId="636C32FA" w14:textId="77777777" w:rsidR="00F965F4" w:rsidRDefault="00F965F4" w:rsidP="00074298">
      <w:pPr>
        <w:numPr>
          <w:ilvl w:val="6"/>
          <w:numId w:val="23"/>
        </w:numPr>
        <w:autoSpaceDE w:val="0"/>
        <w:autoSpaceDN w:val="0"/>
        <w:adjustRightInd w:val="0"/>
        <w:ind w:left="567" w:hanging="567"/>
        <w:rPr>
          <w:rFonts w:cs="Arial"/>
          <w:color w:val="000000"/>
          <w:szCs w:val="22"/>
          <w:lang w:val="en-US"/>
        </w:rPr>
      </w:pPr>
      <w:r>
        <w:rPr>
          <w:rFonts w:cs="Arial"/>
          <w:color w:val="000000"/>
          <w:szCs w:val="22"/>
          <w:lang w:val="en-US"/>
        </w:rPr>
        <w:t xml:space="preserve">There may be a requirement to establish a Cultural Heritage Management Plan and/or obtain approvals pursuant to the Aboriginal Cultural Heritage Act 2003.  The ACH Act establishes a cultural heritage duty of care which provides that:  </w:t>
      </w:r>
    </w:p>
    <w:p w14:paraId="48EC9A34" w14:textId="77777777" w:rsidR="00F965F4" w:rsidRDefault="00F965F4" w:rsidP="00F965F4">
      <w:pPr>
        <w:autoSpaceDE w:val="0"/>
        <w:autoSpaceDN w:val="0"/>
        <w:adjustRightInd w:val="0"/>
        <w:rPr>
          <w:rFonts w:cs="Arial"/>
          <w:color w:val="000000"/>
          <w:szCs w:val="22"/>
          <w:lang w:val="en-US"/>
        </w:rPr>
      </w:pPr>
    </w:p>
    <w:p w14:paraId="37E4A09F" w14:textId="77777777" w:rsidR="00F965F4" w:rsidRDefault="00F965F4" w:rsidP="00F965F4">
      <w:pPr>
        <w:autoSpaceDE w:val="0"/>
        <w:autoSpaceDN w:val="0"/>
        <w:adjustRightInd w:val="0"/>
        <w:ind w:left="567"/>
        <w:rPr>
          <w:rFonts w:cs="Arial"/>
          <w:color w:val="000000"/>
          <w:szCs w:val="22"/>
          <w:lang w:val="en-US"/>
        </w:rPr>
      </w:pPr>
      <w:r>
        <w:rPr>
          <w:rFonts w:cs="Arial"/>
          <w:color w:val="000000"/>
          <w:szCs w:val="22"/>
          <w:lang w:val="en-US"/>
        </w:rPr>
        <w:t xml:space="preserve">“A person who carries out an activity must take all reasonable and practicable measures to ensure the activity does not harm Aboriginal cultural heritage.”  It is an offence to fail to comply with the duty of care.  Substantial monetary penalties may apply to individuals or corporations breaching this duty of care.  Injunctions may also be issued by the Land Court, and the Minister administering the Act can also issue stop orders for an activity that is harming or is likely to harm Aboriginal cultural heritage or the cultural heritage value of Aboriginal cultural heritage.  </w:t>
      </w:r>
    </w:p>
    <w:p w14:paraId="58F2C489" w14:textId="77777777" w:rsidR="00F965F4" w:rsidRDefault="00F965F4" w:rsidP="00F965F4">
      <w:pPr>
        <w:pStyle w:val="ListParagraph"/>
        <w:ind w:left="0"/>
        <w:rPr>
          <w:rFonts w:cs="Arial"/>
          <w:color w:val="000000"/>
          <w:szCs w:val="22"/>
          <w:lang w:val="en-US"/>
        </w:rPr>
      </w:pPr>
    </w:p>
    <w:p w14:paraId="746A8E43" w14:textId="77777777" w:rsidR="00F965F4" w:rsidRDefault="00F965F4" w:rsidP="00F965F4">
      <w:pPr>
        <w:autoSpaceDE w:val="0"/>
        <w:autoSpaceDN w:val="0"/>
        <w:adjustRightInd w:val="0"/>
        <w:ind w:left="567"/>
        <w:rPr>
          <w:rFonts w:cs="Arial"/>
          <w:color w:val="000000"/>
          <w:szCs w:val="22"/>
          <w:lang w:val="en-US"/>
        </w:rPr>
      </w:pPr>
      <w:r>
        <w:rPr>
          <w:rFonts w:cs="Arial"/>
          <w:color w:val="000000"/>
          <w:szCs w:val="22"/>
          <w:lang w:val="en-US"/>
        </w:rPr>
        <w:t xml:space="preserve">You should contact the Cultural Heritage Unit on 07 3247 6212 to discuss any obligations under the ACH Act.  </w:t>
      </w:r>
    </w:p>
    <w:p w14:paraId="3096AB63" w14:textId="5998029D" w:rsidR="00F965F4" w:rsidRDefault="004B5978" w:rsidP="004B5978">
      <w:pPr>
        <w:jc w:val="left"/>
        <w:rPr>
          <w:rFonts w:cs="Arial"/>
          <w:bCs/>
          <w:szCs w:val="22"/>
        </w:rPr>
      </w:pPr>
      <w:r>
        <w:rPr>
          <w:rFonts w:cs="Arial"/>
          <w:bCs/>
          <w:szCs w:val="22"/>
        </w:rPr>
        <w:br w:type="page"/>
      </w:r>
    </w:p>
    <w:p w14:paraId="6267A712" w14:textId="77777777" w:rsidR="00F965F4" w:rsidRDefault="00F965F4" w:rsidP="00F965F4">
      <w:pPr>
        <w:ind w:left="567"/>
        <w:outlineLvl w:val="2"/>
        <w:rPr>
          <w:rFonts w:cs="Arial"/>
          <w:b/>
          <w:bCs/>
          <w:szCs w:val="22"/>
        </w:rPr>
      </w:pPr>
      <w:bookmarkStart w:id="207" w:name="_Toc387754697"/>
      <w:r>
        <w:rPr>
          <w:rFonts w:cs="Arial"/>
          <w:b/>
          <w:bCs/>
          <w:szCs w:val="22"/>
        </w:rPr>
        <w:lastRenderedPageBreak/>
        <w:t>Pre-start, On and Off Maintenance Inspections Request</w:t>
      </w:r>
      <w:bookmarkEnd w:id="197"/>
      <w:bookmarkEnd w:id="199"/>
      <w:bookmarkEnd w:id="200"/>
      <w:bookmarkEnd w:id="201"/>
      <w:bookmarkEnd w:id="202"/>
      <w:bookmarkEnd w:id="203"/>
      <w:bookmarkEnd w:id="204"/>
      <w:bookmarkEnd w:id="205"/>
      <w:bookmarkEnd w:id="206"/>
      <w:bookmarkEnd w:id="207"/>
    </w:p>
    <w:p w14:paraId="3D8153C7" w14:textId="77777777" w:rsidR="00F965F4" w:rsidRDefault="00F965F4" w:rsidP="00F965F4">
      <w:pPr>
        <w:rPr>
          <w:rFonts w:cs="Arial"/>
          <w:szCs w:val="22"/>
        </w:rPr>
      </w:pPr>
    </w:p>
    <w:p w14:paraId="2577C4E6" w14:textId="77777777" w:rsidR="00F965F4" w:rsidRDefault="00F965F4" w:rsidP="00F965F4">
      <w:pPr>
        <w:pStyle w:val="advn"/>
      </w:pPr>
      <w:r>
        <w:t>Contact Council on (07) 5475 9866 to arrange a pre-start or an inspection giving a minimum of five business days’ notice.</w:t>
      </w:r>
    </w:p>
    <w:p w14:paraId="7EC96998" w14:textId="77777777" w:rsidR="00F965F4" w:rsidRDefault="00F965F4" w:rsidP="00F965F4">
      <w:pPr>
        <w:pStyle w:val="advn"/>
        <w:numPr>
          <w:ilvl w:val="0"/>
          <w:numId w:val="0"/>
        </w:numPr>
        <w:tabs>
          <w:tab w:val="left" w:pos="720"/>
        </w:tabs>
        <w:rPr>
          <w:u w:val="single"/>
        </w:rPr>
      </w:pPr>
    </w:p>
    <w:p w14:paraId="0FE4D559" w14:textId="77777777" w:rsidR="00F965F4" w:rsidRDefault="00F965F4" w:rsidP="00F965F4">
      <w:pPr>
        <w:pStyle w:val="advn"/>
      </w:pPr>
      <w:r>
        <w:t xml:space="preserve">If Council officers are required to undertake additional inspections of the same works, a re-inspection fee will be applicable in accordance with Council’s Fees and Charges Register applicable at the time.  </w:t>
      </w:r>
    </w:p>
    <w:p w14:paraId="58D964D0" w14:textId="77777777" w:rsidR="00F965F4" w:rsidRDefault="00F965F4" w:rsidP="00F965F4">
      <w:pPr>
        <w:pStyle w:val="advn"/>
        <w:numPr>
          <w:ilvl w:val="0"/>
          <w:numId w:val="0"/>
        </w:numPr>
        <w:tabs>
          <w:tab w:val="left" w:pos="720"/>
        </w:tabs>
      </w:pPr>
    </w:p>
    <w:p w14:paraId="26FD6338" w14:textId="77777777" w:rsidR="00F965F4" w:rsidRDefault="00F965F4" w:rsidP="00F965F4">
      <w:pPr>
        <w:pStyle w:val="advn"/>
      </w:pPr>
      <w:r>
        <w:t xml:space="preserve">A minimum maintenance period of 12 months will apply to all municipal works and thereafter until such time as the works are performing in accordance with the approved design unless notified otherwise.  </w:t>
      </w:r>
    </w:p>
    <w:p w14:paraId="2EF99DAE" w14:textId="77777777" w:rsidR="00F965F4" w:rsidRDefault="00F965F4" w:rsidP="0022555B">
      <w:pPr>
        <w:pStyle w:val="Heading"/>
        <w:ind w:left="0"/>
        <w:jc w:val="both"/>
      </w:pPr>
      <w:bookmarkStart w:id="208" w:name="_Toc359318865"/>
      <w:bookmarkStart w:id="209" w:name="_Toc359321727"/>
      <w:bookmarkStart w:id="210" w:name="_Toc359321836"/>
      <w:bookmarkStart w:id="211" w:name="_Toc359321944"/>
      <w:bookmarkStart w:id="212" w:name="_Toc359322160"/>
      <w:bookmarkStart w:id="213" w:name="_Toc360187708"/>
      <w:bookmarkStart w:id="214" w:name="_Toc361920710"/>
      <w:bookmarkStart w:id="215" w:name="_Toc361920821"/>
      <w:bookmarkStart w:id="216" w:name="_Toc387754698"/>
    </w:p>
    <w:p w14:paraId="22A1F96D" w14:textId="44A9539E" w:rsidR="00F965F4" w:rsidRDefault="00F965F4" w:rsidP="00F965F4">
      <w:pPr>
        <w:pStyle w:val="Heading"/>
        <w:jc w:val="both"/>
      </w:pPr>
      <w:r>
        <w:t>Civil Engineering Advice Notes</w:t>
      </w:r>
      <w:bookmarkEnd w:id="208"/>
      <w:bookmarkEnd w:id="209"/>
      <w:bookmarkEnd w:id="210"/>
      <w:bookmarkEnd w:id="211"/>
      <w:bookmarkEnd w:id="212"/>
      <w:bookmarkEnd w:id="213"/>
      <w:bookmarkEnd w:id="214"/>
      <w:bookmarkEnd w:id="215"/>
      <w:bookmarkEnd w:id="216"/>
    </w:p>
    <w:p w14:paraId="3AEA7D2D" w14:textId="77777777" w:rsidR="00F965F4" w:rsidRDefault="00F965F4" w:rsidP="00F965F4">
      <w:pPr>
        <w:rPr>
          <w:rFonts w:cs="Arial"/>
          <w:szCs w:val="22"/>
        </w:rPr>
      </w:pPr>
    </w:p>
    <w:p w14:paraId="50D0F220" w14:textId="24981EE9" w:rsidR="00F965F4" w:rsidRDefault="00F965F4" w:rsidP="00F965F4">
      <w:pPr>
        <w:pStyle w:val="advn"/>
      </w:pPr>
      <w:r>
        <w:t xml:space="preserve">A separate development permit for Operational Works must be obtained prior to any modification of existing property accesses, the construction of any new property access, or the commencement of any other works in the road reserve that do not form part of this approval.  </w:t>
      </w:r>
    </w:p>
    <w:p w14:paraId="7AE68F6E" w14:textId="6C91A176" w:rsidR="002422C3" w:rsidRDefault="002422C3" w:rsidP="002422C3">
      <w:pPr>
        <w:pStyle w:val="advn"/>
        <w:numPr>
          <w:ilvl w:val="0"/>
          <w:numId w:val="0"/>
        </w:numPr>
        <w:ind w:left="567" w:hanging="567"/>
      </w:pPr>
    </w:p>
    <w:p w14:paraId="29EC18E4" w14:textId="0A1B913A" w:rsidR="002422C3" w:rsidRPr="002422C3" w:rsidRDefault="002422C3" w:rsidP="002422C3">
      <w:pPr>
        <w:pStyle w:val="HEADING0"/>
        <w:jc w:val="both"/>
        <w:rPr>
          <w:lang w:val="en-US"/>
        </w:rPr>
      </w:pPr>
      <w:r w:rsidRPr="002422C3">
        <w:rPr>
          <w:lang w:val="en-US"/>
        </w:rPr>
        <w:t xml:space="preserve">Environmental  </w:t>
      </w:r>
    </w:p>
    <w:p w14:paraId="3C277DB8" w14:textId="77777777" w:rsidR="00F965F4" w:rsidRDefault="00F965F4" w:rsidP="00F965F4">
      <w:pPr>
        <w:rPr>
          <w:rFonts w:cs="Arial"/>
          <w:szCs w:val="22"/>
        </w:rPr>
      </w:pPr>
    </w:p>
    <w:p w14:paraId="520EC63F" w14:textId="77777777" w:rsidR="00F965F4" w:rsidRDefault="00F965F4" w:rsidP="00F965F4">
      <w:pPr>
        <w:pStyle w:val="advn"/>
        <w:rPr>
          <w:lang w:val="en-GB"/>
        </w:rPr>
      </w:pPr>
      <w:r>
        <w:t xml:space="preserve">The </w:t>
      </w:r>
      <w:r>
        <w:rPr>
          <w:i/>
        </w:rPr>
        <w:t>Environmental Protection Act 1994</w:t>
      </w:r>
      <w:r>
        <w:t xml:space="preserve"> states that a person must not carry out any activity that causes, or is likely to cause, environmental harm unless the person takes all reasonable and practicable measures to prevent or minimise the harm. Environmental harm includes environmental nuisance.  In this regard persons and entities involved in the civil, earthworks, construction and landscaping phases of this development are to adhere to their ‘general environmental duty’ to minimise the risk of causing environmental harm.  </w:t>
      </w:r>
    </w:p>
    <w:p w14:paraId="1BD846E4" w14:textId="77777777" w:rsidR="00F965F4" w:rsidRDefault="00F965F4" w:rsidP="00F965F4">
      <w:pPr>
        <w:pStyle w:val="Number"/>
        <w:numPr>
          <w:ilvl w:val="0"/>
          <w:numId w:val="0"/>
        </w:numPr>
        <w:tabs>
          <w:tab w:val="left" w:pos="720"/>
        </w:tabs>
        <w:ind w:left="567" w:hanging="567"/>
        <w:jc w:val="both"/>
      </w:pPr>
    </w:p>
    <w:p w14:paraId="532450CC" w14:textId="77777777" w:rsidR="00F965F4" w:rsidRDefault="00F965F4" w:rsidP="00F965F4">
      <w:pPr>
        <w:pStyle w:val="HEADING0"/>
        <w:jc w:val="both"/>
        <w:rPr>
          <w:lang w:val="en-US"/>
        </w:rPr>
      </w:pPr>
      <w:bookmarkStart w:id="217" w:name="_Toc359321619"/>
      <w:bookmarkStart w:id="218" w:name="_Toc359321678"/>
      <w:bookmarkStart w:id="219" w:name="_Toc359321806"/>
      <w:bookmarkStart w:id="220" w:name="_Toc359322023"/>
      <w:bookmarkStart w:id="221" w:name="_Toc360187784"/>
      <w:bookmarkStart w:id="222" w:name="_Toc361920655"/>
      <w:bookmarkStart w:id="223" w:name="_Toc361920678"/>
      <w:bookmarkStart w:id="224" w:name="_Toc361920791"/>
      <w:bookmarkStart w:id="225" w:name="_Toc361920902"/>
      <w:bookmarkStart w:id="226" w:name="_Toc469297333"/>
      <w:r>
        <w:rPr>
          <w:lang w:val="en-US"/>
        </w:rPr>
        <w:t>Environmental Health</w:t>
      </w:r>
      <w:bookmarkEnd w:id="217"/>
      <w:bookmarkEnd w:id="218"/>
      <w:bookmarkEnd w:id="219"/>
      <w:bookmarkEnd w:id="220"/>
      <w:bookmarkEnd w:id="221"/>
      <w:bookmarkEnd w:id="222"/>
      <w:bookmarkEnd w:id="223"/>
      <w:bookmarkEnd w:id="224"/>
      <w:bookmarkEnd w:id="225"/>
      <w:bookmarkEnd w:id="226"/>
    </w:p>
    <w:p w14:paraId="333C9640" w14:textId="77777777" w:rsidR="00F965F4" w:rsidRDefault="00F965F4" w:rsidP="00F965F4">
      <w:pPr>
        <w:rPr>
          <w:rFonts w:cs="Arial"/>
          <w:szCs w:val="22"/>
        </w:rPr>
      </w:pPr>
    </w:p>
    <w:p w14:paraId="23AC754B" w14:textId="6D2060F1" w:rsidR="00626CEA" w:rsidRPr="00F959D7" w:rsidRDefault="00F965F4" w:rsidP="00F959D7">
      <w:pPr>
        <w:pStyle w:val="advn"/>
      </w:pPr>
      <w:r>
        <w:rPr>
          <w:b/>
          <w:bCs/>
          <w:i/>
          <w:iCs/>
        </w:rPr>
        <w:t xml:space="preserve">Clean earth </w:t>
      </w:r>
      <w:r>
        <w:t xml:space="preserve">means earth that has trace elements and contaminant levels within the interim ecologically-based investigation levels for urban land use under the document titled </w:t>
      </w:r>
      <w:r>
        <w:rPr>
          <w:i/>
        </w:rPr>
        <w:t xml:space="preserve">Schedule B(1 )- Guideline on Investigation Levels for Soil and Groundwater, </w:t>
      </w:r>
      <w:r>
        <w:t>forming part of the</w:t>
      </w:r>
      <w:r>
        <w:rPr>
          <w:i/>
        </w:rPr>
        <w:t xml:space="preserve"> National Environment Protection (Assessment of Site Contamination) Measure 1999, as varied 2011,</w:t>
      </w:r>
      <w:r>
        <w:t xml:space="preserve"> made by the National Environment Protection Council under the </w:t>
      </w:r>
      <w:r>
        <w:rPr>
          <w:i/>
          <w:iCs/>
        </w:rPr>
        <w:t xml:space="preserve">National Environment Protection Council Act 1994 </w:t>
      </w:r>
      <w:r>
        <w:t xml:space="preserve">(Commonwealth), section 14(1).  </w:t>
      </w:r>
    </w:p>
    <w:p w14:paraId="1571766C" w14:textId="77777777" w:rsidR="00F965F4" w:rsidRDefault="00F965F4" w:rsidP="00F965F4">
      <w:pPr>
        <w:pStyle w:val="advn"/>
        <w:numPr>
          <w:ilvl w:val="0"/>
          <w:numId w:val="0"/>
        </w:numPr>
        <w:tabs>
          <w:tab w:val="left" w:pos="720"/>
        </w:tabs>
      </w:pPr>
    </w:p>
    <w:p w14:paraId="2A1C7685" w14:textId="77777777" w:rsidR="00F965F4" w:rsidRDefault="00F965F4" w:rsidP="00F965F4">
      <w:pPr>
        <w:pStyle w:val="advn"/>
      </w:pPr>
      <w:r>
        <w:rPr>
          <w:bCs/>
          <w:iCs/>
        </w:rPr>
        <w:t>Waste</w:t>
      </w:r>
      <w:r>
        <w:rPr>
          <w:b/>
          <w:bCs/>
          <w:iCs/>
        </w:rPr>
        <w:t xml:space="preserve"> </w:t>
      </w:r>
      <w:r>
        <w:t xml:space="preserve">includes anything, other than a resource approved (i.e. recyclable) under the </w:t>
      </w:r>
      <w:r>
        <w:rPr>
          <w:i/>
        </w:rPr>
        <w:t>Waste Reduction and Recycling Act 2011</w:t>
      </w:r>
      <w:r>
        <w:t xml:space="preserve"> (Chapter 8) that is:</w:t>
      </w:r>
    </w:p>
    <w:p w14:paraId="20FB8F9B" w14:textId="77777777" w:rsidR="00F965F4" w:rsidRDefault="00F965F4" w:rsidP="00F965F4">
      <w:pPr>
        <w:pStyle w:val="L1"/>
      </w:pPr>
      <w:r>
        <w:t>Left over, or an unwanted by-product, from an industrial, commercial, domestic or other activity; or</w:t>
      </w:r>
    </w:p>
    <w:p w14:paraId="6DC0E521" w14:textId="77777777" w:rsidR="00F965F4" w:rsidRDefault="00F965F4" w:rsidP="00F965F4">
      <w:pPr>
        <w:pStyle w:val="L1"/>
      </w:pPr>
      <w:r>
        <w:t xml:space="preserve">Surplus to the industrial, commercial, domestic or other activity generating the waste.  </w:t>
      </w:r>
    </w:p>
    <w:p w14:paraId="1C230931" w14:textId="77777777" w:rsidR="00F965F4" w:rsidRDefault="00F965F4" w:rsidP="00F965F4">
      <w:pPr>
        <w:rPr>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A0" w:firstRow="1" w:lastRow="0" w:firstColumn="1" w:lastColumn="0" w:noHBand="0" w:noVBand="0"/>
      </w:tblPr>
      <w:tblGrid>
        <w:gridCol w:w="8641"/>
      </w:tblGrid>
      <w:tr w:rsidR="00F965F4" w14:paraId="1B83D34A" w14:textId="77777777" w:rsidTr="00F965F4">
        <w:tc>
          <w:tcPr>
            <w:tcW w:w="8642" w:type="dxa"/>
            <w:tcBorders>
              <w:top w:val="single" w:sz="4" w:space="0" w:color="auto"/>
              <w:left w:val="single" w:sz="4" w:space="0" w:color="auto"/>
              <w:bottom w:val="single" w:sz="4" w:space="0" w:color="auto"/>
              <w:right w:val="single" w:sz="4" w:space="0" w:color="auto"/>
            </w:tcBorders>
            <w:shd w:val="clear" w:color="auto" w:fill="E6E6E6"/>
            <w:hideMark/>
          </w:tcPr>
          <w:p w14:paraId="07246D5A" w14:textId="77777777" w:rsidR="00F965F4" w:rsidRDefault="00F965F4">
            <w:pPr>
              <w:pStyle w:val="DAHeading"/>
              <w:numPr>
                <w:ilvl w:val="0"/>
                <w:numId w:val="0"/>
              </w:numPr>
              <w:tabs>
                <w:tab w:val="left" w:pos="720"/>
              </w:tabs>
            </w:pPr>
            <w:bookmarkStart w:id="227" w:name="AMCMemoEnd"/>
            <w:bookmarkStart w:id="228" w:name="AMCMemoBegin"/>
            <w:bookmarkEnd w:id="227"/>
            <w:bookmarkEnd w:id="228"/>
            <w:r>
              <w:t>REFERRAL AGENCIES</w:t>
            </w:r>
          </w:p>
        </w:tc>
      </w:tr>
    </w:tbl>
    <w:p w14:paraId="2B4D7D33" w14:textId="77777777" w:rsidR="00F965F4" w:rsidRDefault="00F965F4" w:rsidP="00F965F4">
      <w:pPr>
        <w:tabs>
          <w:tab w:val="left" w:pos="567"/>
        </w:tabs>
        <w:rPr>
          <w:szCs w:val="20"/>
          <w:lang w:eastAsia="en-US"/>
        </w:rPr>
      </w:pPr>
    </w:p>
    <w:p w14:paraId="56C8D3A9" w14:textId="77777777" w:rsidR="00F965F4" w:rsidRDefault="00F965F4" w:rsidP="00F965F4">
      <w:pPr>
        <w:tabs>
          <w:tab w:val="left" w:pos="567"/>
        </w:tabs>
        <w:rPr>
          <w:sz w:val="20"/>
        </w:rPr>
      </w:pPr>
      <w:r>
        <w:t xml:space="preserve">Not applicable.  </w:t>
      </w:r>
    </w:p>
    <w:p w14:paraId="0C0E77C4" w14:textId="22153FAB" w:rsidR="00F965F4" w:rsidRDefault="004B5978" w:rsidP="004B5978">
      <w:pPr>
        <w:jc w:val="left"/>
      </w:pPr>
      <w:bookmarkStart w:id="229" w:name="ANMemoEnd"/>
      <w:bookmarkEnd w:id="229"/>
      <w: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A0" w:firstRow="1" w:lastRow="0" w:firstColumn="1" w:lastColumn="0" w:noHBand="0" w:noVBand="0"/>
      </w:tblPr>
      <w:tblGrid>
        <w:gridCol w:w="8641"/>
      </w:tblGrid>
      <w:tr w:rsidR="00F965F4" w14:paraId="33EECB42" w14:textId="77777777" w:rsidTr="00F965F4">
        <w:tc>
          <w:tcPr>
            <w:tcW w:w="8642" w:type="dxa"/>
            <w:tcBorders>
              <w:top w:val="single" w:sz="4" w:space="0" w:color="auto"/>
              <w:left w:val="single" w:sz="4" w:space="0" w:color="auto"/>
              <w:bottom w:val="single" w:sz="4" w:space="0" w:color="auto"/>
              <w:right w:val="single" w:sz="4" w:space="0" w:color="auto"/>
            </w:tcBorders>
            <w:shd w:val="clear" w:color="auto" w:fill="E6E6E6"/>
            <w:hideMark/>
          </w:tcPr>
          <w:p w14:paraId="772DD26E" w14:textId="77777777" w:rsidR="00F965F4" w:rsidRDefault="00F965F4">
            <w:pPr>
              <w:pStyle w:val="DAHeading"/>
              <w:numPr>
                <w:ilvl w:val="0"/>
                <w:numId w:val="0"/>
              </w:numPr>
              <w:tabs>
                <w:tab w:val="left" w:pos="720"/>
              </w:tabs>
            </w:pPr>
            <w:r>
              <w:lastRenderedPageBreak/>
              <w:t>PROPERTY NOTES</w:t>
            </w:r>
          </w:p>
        </w:tc>
      </w:tr>
    </w:tbl>
    <w:p w14:paraId="6AF88235" w14:textId="77777777" w:rsidR="00F965F4" w:rsidRDefault="00F965F4" w:rsidP="00F965F4">
      <w:pPr>
        <w:rPr>
          <w:szCs w:val="20"/>
          <w:lang w:eastAsia="en-US"/>
        </w:rPr>
      </w:pPr>
    </w:p>
    <w:p w14:paraId="5AA82649" w14:textId="77777777" w:rsidR="00F965F4" w:rsidRDefault="00F965F4" w:rsidP="00F965F4">
      <w:r>
        <w:t xml:space="preserve">Not applicable.  </w:t>
      </w:r>
    </w:p>
    <w:p w14:paraId="7FD1A23F" w14:textId="77777777" w:rsidR="00F965F4" w:rsidRDefault="00F965F4" w:rsidP="00F965F4">
      <w:pPr>
        <w:rPr>
          <w:sz w:val="20"/>
          <w:highlight w:val="yellow"/>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A0" w:firstRow="1" w:lastRow="0" w:firstColumn="1" w:lastColumn="0" w:noHBand="0" w:noVBand="0"/>
      </w:tblPr>
      <w:tblGrid>
        <w:gridCol w:w="8641"/>
      </w:tblGrid>
      <w:tr w:rsidR="00F965F4" w14:paraId="43D3B2D3" w14:textId="77777777" w:rsidTr="00F965F4">
        <w:tc>
          <w:tcPr>
            <w:tcW w:w="8642" w:type="dxa"/>
            <w:tcBorders>
              <w:top w:val="single" w:sz="4" w:space="0" w:color="auto"/>
              <w:left w:val="single" w:sz="4" w:space="0" w:color="auto"/>
              <w:bottom w:val="single" w:sz="4" w:space="0" w:color="auto"/>
              <w:right w:val="single" w:sz="4" w:space="0" w:color="auto"/>
            </w:tcBorders>
            <w:shd w:val="clear" w:color="auto" w:fill="E6E6E6"/>
            <w:hideMark/>
          </w:tcPr>
          <w:p w14:paraId="284A4206" w14:textId="77777777" w:rsidR="00F965F4" w:rsidRDefault="00F965F4">
            <w:pPr>
              <w:pStyle w:val="DAHeading"/>
              <w:numPr>
                <w:ilvl w:val="0"/>
                <w:numId w:val="0"/>
              </w:numPr>
              <w:tabs>
                <w:tab w:val="left" w:pos="720"/>
              </w:tabs>
            </w:pPr>
            <w:bookmarkStart w:id="230" w:name="PNMemoEnd"/>
            <w:bookmarkStart w:id="231" w:name="PNEnd"/>
            <w:bookmarkStart w:id="232" w:name="PNBegin"/>
            <w:bookmarkEnd w:id="230"/>
            <w:bookmarkEnd w:id="231"/>
            <w:bookmarkEnd w:id="232"/>
            <w:r>
              <w:t>VARIATION APPROVAL</w:t>
            </w:r>
          </w:p>
        </w:tc>
      </w:tr>
    </w:tbl>
    <w:p w14:paraId="2B802FE8" w14:textId="77777777" w:rsidR="00F965F4" w:rsidRDefault="00F965F4" w:rsidP="00F965F4">
      <w:pPr>
        <w:rPr>
          <w:szCs w:val="20"/>
          <w:lang w:eastAsia="en-US"/>
        </w:rPr>
      </w:pPr>
    </w:p>
    <w:p w14:paraId="6FBA964B" w14:textId="77777777" w:rsidR="00F965F4" w:rsidRDefault="00F965F4" w:rsidP="00F965F4">
      <w:r>
        <w:t xml:space="preserve">Not applicable.  </w:t>
      </w:r>
    </w:p>
    <w:p w14:paraId="6424B23B" w14:textId="77777777" w:rsidR="00F965F4" w:rsidRDefault="00F965F4" w:rsidP="00F965F4"/>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A0" w:firstRow="1" w:lastRow="0" w:firstColumn="1" w:lastColumn="0" w:noHBand="0" w:noVBand="0"/>
      </w:tblPr>
      <w:tblGrid>
        <w:gridCol w:w="8641"/>
      </w:tblGrid>
      <w:tr w:rsidR="00F965F4" w14:paraId="3307C09E" w14:textId="77777777" w:rsidTr="00F965F4">
        <w:tc>
          <w:tcPr>
            <w:tcW w:w="8642" w:type="dxa"/>
            <w:tcBorders>
              <w:top w:val="single" w:sz="4" w:space="0" w:color="auto"/>
              <w:left w:val="single" w:sz="4" w:space="0" w:color="auto"/>
              <w:bottom w:val="single" w:sz="4" w:space="0" w:color="auto"/>
              <w:right w:val="single" w:sz="4" w:space="0" w:color="auto"/>
            </w:tcBorders>
            <w:shd w:val="clear" w:color="auto" w:fill="E6E6E6"/>
            <w:hideMark/>
          </w:tcPr>
          <w:p w14:paraId="6ED66C5B" w14:textId="77777777" w:rsidR="00F965F4" w:rsidRDefault="00F965F4">
            <w:pPr>
              <w:pStyle w:val="DAHeading"/>
              <w:numPr>
                <w:ilvl w:val="0"/>
                <w:numId w:val="0"/>
              </w:numPr>
              <w:tabs>
                <w:tab w:val="left" w:pos="720"/>
              </w:tabs>
            </w:pPr>
            <w:r>
              <w:t>FURTHER DEVELOPMENT PERMITS REQUIRED</w:t>
            </w:r>
          </w:p>
        </w:tc>
      </w:tr>
    </w:tbl>
    <w:p w14:paraId="4B75340E" w14:textId="77777777" w:rsidR="00F965F4" w:rsidRDefault="00F965F4" w:rsidP="00F965F4">
      <w:pPr>
        <w:rPr>
          <w:szCs w:val="20"/>
          <w:lang w:eastAsia="en-US"/>
        </w:rPr>
      </w:pPr>
    </w:p>
    <w:p w14:paraId="6A5AE1F0" w14:textId="77777777" w:rsidR="00F965F4" w:rsidRPr="00E26524" w:rsidRDefault="00F965F4" w:rsidP="00E26524">
      <w:pPr>
        <w:pStyle w:val="ListParagraph"/>
        <w:numPr>
          <w:ilvl w:val="0"/>
          <w:numId w:val="41"/>
        </w:numPr>
        <w:rPr>
          <w:spacing w:val="-2"/>
        </w:rPr>
      </w:pPr>
      <w:r w:rsidRPr="00E26524">
        <w:rPr>
          <w:spacing w:val="-2"/>
        </w:rPr>
        <w:t>Development Permit for Operational Work (Landscaping)</w:t>
      </w:r>
    </w:p>
    <w:p w14:paraId="3B9AA0C2" w14:textId="4DBCEAD4" w:rsidR="00F965F4" w:rsidRPr="00E26524" w:rsidRDefault="00F965F4" w:rsidP="00E26524">
      <w:pPr>
        <w:pStyle w:val="ListParagraph"/>
        <w:numPr>
          <w:ilvl w:val="0"/>
          <w:numId w:val="41"/>
        </w:numPr>
        <w:rPr>
          <w:spacing w:val="-2"/>
        </w:rPr>
      </w:pPr>
      <w:r w:rsidRPr="00E26524">
        <w:rPr>
          <w:spacing w:val="-2"/>
        </w:rPr>
        <w:t>Development Permit for Operational Work (Ecology Rehabilitation of Sand Dunes for</w:t>
      </w:r>
      <w:r w:rsidR="00626CEA" w:rsidRPr="00E26524">
        <w:rPr>
          <w:spacing w:val="-2"/>
        </w:rPr>
        <w:t xml:space="preserve"> </w:t>
      </w:r>
      <w:r w:rsidRPr="00E26524">
        <w:rPr>
          <w:spacing w:val="-2"/>
        </w:rPr>
        <w:t>Turtles)</w:t>
      </w:r>
    </w:p>
    <w:p w14:paraId="361613E2" w14:textId="35CBD51B" w:rsidR="00F965F4" w:rsidRPr="00E26524" w:rsidRDefault="00F965F4" w:rsidP="00E26524">
      <w:pPr>
        <w:pStyle w:val="ListParagraph"/>
        <w:numPr>
          <w:ilvl w:val="0"/>
          <w:numId w:val="41"/>
        </w:numPr>
        <w:rPr>
          <w:spacing w:val="-2"/>
        </w:rPr>
      </w:pPr>
      <w:r w:rsidRPr="00E26524">
        <w:rPr>
          <w:spacing w:val="-2"/>
        </w:rPr>
        <w:t xml:space="preserve">Development Permit for Operational Work (Electrical Reticulation, underground </w:t>
      </w:r>
      <w:r w:rsidR="00E26524" w:rsidRPr="00E26524">
        <w:rPr>
          <w:spacing w:val="-2"/>
        </w:rPr>
        <w:t xml:space="preserve">  </w:t>
      </w:r>
      <w:r w:rsidRPr="00E26524">
        <w:rPr>
          <w:spacing w:val="-2"/>
        </w:rPr>
        <w:t>power to Iluka Ave &amp; Pacific Blvd)</w:t>
      </w:r>
    </w:p>
    <w:p w14:paraId="0805A40A" w14:textId="77777777" w:rsidR="00F965F4" w:rsidRDefault="00F965F4" w:rsidP="00E26524">
      <w:pPr>
        <w:tabs>
          <w:tab w:val="num" w:pos="426"/>
        </w:tabs>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A0" w:firstRow="1" w:lastRow="0" w:firstColumn="1" w:lastColumn="0" w:noHBand="0" w:noVBand="0"/>
      </w:tblPr>
      <w:tblGrid>
        <w:gridCol w:w="8641"/>
      </w:tblGrid>
      <w:tr w:rsidR="00F965F4" w14:paraId="5E1965A9" w14:textId="77777777" w:rsidTr="00F965F4">
        <w:tc>
          <w:tcPr>
            <w:tcW w:w="9156" w:type="dxa"/>
            <w:tcBorders>
              <w:top w:val="single" w:sz="4" w:space="0" w:color="auto"/>
              <w:left w:val="single" w:sz="4" w:space="0" w:color="auto"/>
              <w:bottom w:val="single" w:sz="4" w:space="0" w:color="auto"/>
              <w:right w:val="single" w:sz="4" w:space="0" w:color="auto"/>
            </w:tcBorders>
            <w:shd w:val="clear" w:color="auto" w:fill="E6E6E6"/>
            <w:hideMark/>
          </w:tcPr>
          <w:p w14:paraId="5B72CC6D" w14:textId="77777777" w:rsidR="00F965F4" w:rsidRDefault="00F965F4">
            <w:pPr>
              <w:pStyle w:val="DAHeading"/>
              <w:numPr>
                <w:ilvl w:val="0"/>
                <w:numId w:val="0"/>
              </w:numPr>
              <w:tabs>
                <w:tab w:val="left" w:pos="720"/>
              </w:tabs>
            </w:pPr>
            <w:r>
              <w:t>SUBMISSIONS</w:t>
            </w:r>
          </w:p>
        </w:tc>
      </w:tr>
    </w:tbl>
    <w:p w14:paraId="0F5DEC19" w14:textId="77777777" w:rsidR="00F965F4" w:rsidRDefault="00F965F4" w:rsidP="00F965F4">
      <w:pPr>
        <w:rPr>
          <w:szCs w:val="20"/>
          <w:lang w:eastAsia="en-US"/>
        </w:rPr>
      </w:pPr>
    </w:p>
    <w:p w14:paraId="21373D8C" w14:textId="77777777" w:rsidR="00F965F4" w:rsidRDefault="00F965F4" w:rsidP="00F965F4">
      <w:r>
        <w:t xml:space="preserve">Not applicable.  </w:t>
      </w:r>
    </w:p>
    <w:p w14:paraId="42572D6D" w14:textId="77777777" w:rsidR="00F959D7" w:rsidRDefault="00F959D7" w:rsidP="00F965F4"/>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A0" w:firstRow="1" w:lastRow="0" w:firstColumn="1" w:lastColumn="0" w:noHBand="0" w:noVBand="0"/>
      </w:tblPr>
      <w:tblGrid>
        <w:gridCol w:w="8641"/>
      </w:tblGrid>
      <w:tr w:rsidR="00F965F4" w14:paraId="401C84F2" w14:textId="77777777" w:rsidTr="00F965F4">
        <w:tc>
          <w:tcPr>
            <w:tcW w:w="8642" w:type="dxa"/>
            <w:tcBorders>
              <w:top w:val="single" w:sz="4" w:space="0" w:color="auto"/>
              <w:left w:val="single" w:sz="4" w:space="0" w:color="auto"/>
              <w:bottom w:val="single" w:sz="4" w:space="0" w:color="auto"/>
              <w:right w:val="single" w:sz="4" w:space="0" w:color="auto"/>
            </w:tcBorders>
            <w:shd w:val="clear" w:color="auto" w:fill="E6E6E6"/>
            <w:hideMark/>
          </w:tcPr>
          <w:p w14:paraId="563B6848" w14:textId="77777777" w:rsidR="00F965F4" w:rsidRDefault="00F965F4">
            <w:pPr>
              <w:pStyle w:val="DAHeading"/>
              <w:numPr>
                <w:ilvl w:val="0"/>
                <w:numId w:val="0"/>
              </w:numPr>
              <w:tabs>
                <w:tab w:val="left" w:pos="720"/>
              </w:tabs>
            </w:pPr>
            <w:r>
              <w:t>INCONSISTENCY WITH EARLIER APPROVAL</w:t>
            </w:r>
          </w:p>
        </w:tc>
      </w:tr>
    </w:tbl>
    <w:p w14:paraId="21251C3F" w14:textId="77777777" w:rsidR="00F965F4" w:rsidRDefault="00F965F4" w:rsidP="00F965F4">
      <w:pPr>
        <w:rPr>
          <w:szCs w:val="20"/>
          <w:lang w:eastAsia="en-US"/>
        </w:rPr>
      </w:pPr>
    </w:p>
    <w:p w14:paraId="27B958AE" w14:textId="77777777" w:rsidR="00F965F4" w:rsidRDefault="00F965F4" w:rsidP="00F965F4">
      <w:r>
        <w:t xml:space="preserve">Not applicable.  </w:t>
      </w:r>
    </w:p>
    <w:p w14:paraId="1330123A" w14:textId="77777777" w:rsidR="002422C3" w:rsidRDefault="002422C3" w:rsidP="00F965F4"/>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A0" w:firstRow="1" w:lastRow="0" w:firstColumn="1" w:lastColumn="0" w:noHBand="0" w:noVBand="0"/>
      </w:tblPr>
      <w:tblGrid>
        <w:gridCol w:w="8641"/>
      </w:tblGrid>
      <w:tr w:rsidR="00F965F4" w14:paraId="6A523BEC" w14:textId="77777777" w:rsidTr="00F965F4">
        <w:tc>
          <w:tcPr>
            <w:tcW w:w="9156" w:type="dxa"/>
            <w:tcBorders>
              <w:top w:val="single" w:sz="4" w:space="0" w:color="auto"/>
              <w:left w:val="single" w:sz="4" w:space="0" w:color="auto"/>
              <w:bottom w:val="single" w:sz="4" w:space="0" w:color="auto"/>
              <w:right w:val="single" w:sz="4" w:space="0" w:color="auto"/>
            </w:tcBorders>
            <w:shd w:val="clear" w:color="auto" w:fill="E6E6E6"/>
            <w:hideMark/>
          </w:tcPr>
          <w:p w14:paraId="6D9438C1" w14:textId="77777777" w:rsidR="00F965F4" w:rsidRDefault="00F965F4">
            <w:pPr>
              <w:pStyle w:val="DAHeading"/>
              <w:numPr>
                <w:ilvl w:val="0"/>
                <w:numId w:val="0"/>
              </w:numPr>
              <w:tabs>
                <w:tab w:val="left" w:pos="720"/>
              </w:tabs>
            </w:pPr>
            <w:r>
              <w:t>ENVIRONMENTAL AUTHORITY</w:t>
            </w:r>
          </w:p>
        </w:tc>
      </w:tr>
    </w:tbl>
    <w:p w14:paraId="6FD1B7A8" w14:textId="77777777" w:rsidR="00F965F4" w:rsidRDefault="00F965F4" w:rsidP="00F965F4">
      <w:pPr>
        <w:rPr>
          <w:szCs w:val="20"/>
          <w:lang w:eastAsia="en-US"/>
        </w:rPr>
      </w:pPr>
    </w:p>
    <w:p w14:paraId="5B7F8996" w14:textId="77777777" w:rsidR="00F965F4" w:rsidRDefault="00F965F4" w:rsidP="00F965F4">
      <w:r>
        <w:t xml:space="preserve">Not applicable.  </w:t>
      </w:r>
    </w:p>
    <w:p w14:paraId="46CE2C83" w14:textId="77777777" w:rsidR="00F965F4" w:rsidRDefault="00F965F4" w:rsidP="00F965F4"/>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A0" w:firstRow="1" w:lastRow="0" w:firstColumn="1" w:lastColumn="0" w:noHBand="0" w:noVBand="0"/>
      </w:tblPr>
      <w:tblGrid>
        <w:gridCol w:w="8641"/>
      </w:tblGrid>
      <w:tr w:rsidR="00F965F4" w14:paraId="6C2F159F" w14:textId="77777777" w:rsidTr="00F965F4">
        <w:tc>
          <w:tcPr>
            <w:tcW w:w="8642" w:type="dxa"/>
            <w:tcBorders>
              <w:top w:val="single" w:sz="4" w:space="0" w:color="auto"/>
              <w:left w:val="single" w:sz="4" w:space="0" w:color="auto"/>
              <w:bottom w:val="single" w:sz="4" w:space="0" w:color="auto"/>
              <w:right w:val="single" w:sz="4" w:space="0" w:color="auto"/>
            </w:tcBorders>
            <w:shd w:val="clear" w:color="auto" w:fill="E6E6E6"/>
            <w:hideMark/>
          </w:tcPr>
          <w:p w14:paraId="6E8E8271" w14:textId="77777777" w:rsidR="00F965F4" w:rsidRDefault="00F965F4">
            <w:pPr>
              <w:pStyle w:val="DAHeading"/>
              <w:numPr>
                <w:ilvl w:val="0"/>
                <w:numId w:val="0"/>
              </w:numPr>
              <w:tabs>
                <w:tab w:val="left" w:pos="720"/>
              </w:tabs>
            </w:pPr>
            <w:r>
              <w:t>RIGHTS OF APPEAL</w:t>
            </w:r>
          </w:p>
        </w:tc>
      </w:tr>
    </w:tbl>
    <w:p w14:paraId="655D563E" w14:textId="77777777" w:rsidR="00F965F4" w:rsidRDefault="00F965F4" w:rsidP="00F965F4">
      <w:pPr>
        <w:rPr>
          <w:szCs w:val="20"/>
          <w:lang w:eastAsia="en-US"/>
        </w:rPr>
      </w:pPr>
    </w:p>
    <w:p w14:paraId="48C26E80" w14:textId="77777777" w:rsidR="00F965F4" w:rsidRDefault="00F965F4" w:rsidP="00F965F4">
      <w:pPr>
        <w:tabs>
          <w:tab w:val="left" w:pos="567"/>
        </w:tabs>
        <w:rPr>
          <w:szCs w:val="22"/>
        </w:rPr>
      </w:pPr>
      <w:r>
        <w:rPr>
          <w:szCs w:val="22"/>
        </w:rPr>
        <w:t xml:space="preserve">You are entitled to appeal against this decision. A copy of the relevant appeal provisions from the </w:t>
      </w:r>
      <w:r>
        <w:rPr>
          <w:i/>
          <w:szCs w:val="22"/>
        </w:rPr>
        <w:t>Planning Act 2016</w:t>
      </w:r>
      <w:r>
        <w:rPr>
          <w:szCs w:val="22"/>
        </w:rPr>
        <w:t xml:space="preserve"> is attached.  </w:t>
      </w:r>
    </w:p>
    <w:p w14:paraId="66160681" w14:textId="77777777" w:rsidR="00F965F4" w:rsidRDefault="00F965F4" w:rsidP="00F965F4">
      <w:pPr>
        <w:tabs>
          <w:tab w:val="left" w:pos="567"/>
        </w:tabs>
        <w:rPr>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A0" w:firstRow="1" w:lastRow="0" w:firstColumn="1" w:lastColumn="0" w:noHBand="0" w:noVBand="0"/>
      </w:tblPr>
      <w:tblGrid>
        <w:gridCol w:w="8621"/>
      </w:tblGrid>
      <w:tr w:rsidR="00F965F4" w14:paraId="23C39044" w14:textId="77777777" w:rsidTr="00F965F4">
        <w:tc>
          <w:tcPr>
            <w:tcW w:w="8621" w:type="dxa"/>
            <w:tcBorders>
              <w:top w:val="single" w:sz="4" w:space="0" w:color="auto"/>
              <w:left w:val="single" w:sz="4" w:space="0" w:color="auto"/>
              <w:bottom w:val="single" w:sz="4" w:space="0" w:color="auto"/>
              <w:right w:val="single" w:sz="4" w:space="0" w:color="auto"/>
            </w:tcBorders>
            <w:shd w:val="clear" w:color="auto" w:fill="E6E6E6"/>
            <w:hideMark/>
          </w:tcPr>
          <w:p w14:paraId="7604732E" w14:textId="77777777" w:rsidR="00F965F4" w:rsidRDefault="00F965F4">
            <w:pPr>
              <w:pStyle w:val="DAHeading"/>
              <w:numPr>
                <w:ilvl w:val="0"/>
                <w:numId w:val="0"/>
              </w:numPr>
              <w:tabs>
                <w:tab w:val="left" w:pos="720"/>
              </w:tabs>
            </w:pPr>
            <w:r>
              <w:t>OTHER DETAILS</w:t>
            </w:r>
          </w:p>
        </w:tc>
      </w:tr>
    </w:tbl>
    <w:p w14:paraId="2082518E" w14:textId="77777777" w:rsidR="00F965F4" w:rsidRDefault="00F965F4" w:rsidP="00F965F4">
      <w:pPr>
        <w:rPr>
          <w:szCs w:val="20"/>
          <w:lang w:eastAsia="en-US"/>
        </w:rPr>
      </w:pPr>
    </w:p>
    <w:p w14:paraId="28981DCA" w14:textId="331CB5E3" w:rsidR="001D061F" w:rsidRPr="00626CEA" w:rsidRDefault="00F965F4" w:rsidP="00626CEA">
      <w:pPr>
        <w:rPr>
          <w:szCs w:val="22"/>
        </w:rPr>
      </w:pPr>
      <w:r>
        <w:rPr>
          <w:szCs w:val="22"/>
        </w:rPr>
        <w:t xml:space="preserve">If you wish to obtain more information about council’s decision, please refer to the approval package for the application on Council’s Development.i webpage at </w:t>
      </w:r>
      <w:hyperlink r:id="rId10" w:history="1">
        <w:r>
          <w:rPr>
            <w:rStyle w:val="Hyperlink"/>
          </w:rPr>
          <w:t>www.sunshinecoast.qld.gov.au</w:t>
        </w:r>
      </w:hyperlink>
      <w:r>
        <w:rPr>
          <w:szCs w:val="22"/>
        </w:rPr>
        <w:t xml:space="preserve">, using the application number referenced herein. </w:t>
      </w:r>
    </w:p>
    <w:p w14:paraId="6EBBA047" w14:textId="77777777" w:rsidR="001D061F" w:rsidRDefault="001D061F" w:rsidP="00046737"/>
    <w:p w14:paraId="2F00B217" w14:textId="77777777" w:rsidR="00011BA5" w:rsidRDefault="00011BA5" w:rsidP="00011BA5">
      <w:pPr>
        <w:jc w:val="right"/>
      </w:pPr>
    </w:p>
    <w:p w14:paraId="514E4BFC" w14:textId="43C5EBE5" w:rsidR="001D061F" w:rsidRDefault="00F959D7">
      <w:pPr>
        <w:jc w:val="left"/>
        <w:rPr>
          <w:i/>
        </w:rPr>
      </w:pPr>
      <w:bookmarkStart w:id="233" w:name="Submitters"/>
      <w:r>
        <w:rPr>
          <w:i/>
        </w:rPr>
        <w:br w:type="page"/>
      </w:r>
    </w:p>
    <w:tbl>
      <w:tblPr>
        <w:tblW w:w="9540"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3960"/>
        <w:gridCol w:w="5580"/>
      </w:tblGrid>
      <w:tr w:rsidR="00046737" w14:paraId="0140F73D" w14:textId="77777777" w:rsidTr="00F316D7">
        <w:trPr>
          <w:trHeight w:val="966"/>
        </w:trPr>
        <w:tc>
          <w:tcPr>
            <w:tcW w:w="3960" w:type="dxa"/>
            <w:shd w:val="clear" w:color="auto" w:fill="auto"/>
          </w:tcPr>
          <w:bookmarkEnd w:id="233"/>
          <w:p w14:paraId="10A5D739" w14:textId="77777777" w:rsidR="00046737" w:rsidRDefault="00046737" w:rsidP="00F316D7">
            <w:r w:rsidRPr="008C2478">
              <w:rPr>
                <w:noProof/>
                <w:sz w:val="18"/>
                <w:szCs w:val="18"/>
              </w:rPr>
              <w:lastRenderedPageBreak/>
              <w:drawing>
                <wp:inline distT="0" distB="0" distL="0" distR="0" wp14:anchorId="39A1116F" wp14:editId="7326AC62">
                  <wp:extent cx="2019300" cy="752475"/>
                  <wp:effectExtent l="0" t="0" r="0" b="9525"/>
                  <wp:docPr id="1" name="Picture 1" descr="W:\SCC\RSP\DS\Quality_Assurance\Templates\Confidential\SCC_2014_Linear_BLK-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CC\RSP\DS\Quality_Assurance\Templates\Confidential\SCC_2014_Linear_BLK-7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752475"/>
                          </a:xfrm>
                          <a:prstGeom prst="rect">
                            <a:avLst/>
                          </a:prstGeom>
                          <a:noFill/>
                          <a:ln>
                            <a:noFill/>
                          </a:ln>
                        </pic:spPr>
                      </pic:pic>
                    </a:graphicData>
                  </a:graphic>
                </wp:inline>
              </w:drawing>
            </w:r>
          </w:p>
        </w:tc>
        <w:tc>
          <w:tcPr>
            <w:tcW w:w="5580" w:type="dxa"/>
            <w:shd w:val="clear" w:color="auto" w:fill="auto"/>
          </w:tcPr>
          <w:p w14:paraId="453E671F" w14:textId="77777777" w:rsidR="00046737" w:rsidRPr="00D21DD3" w:rsidRDefault="008E5DFC" w:rsidP="00F316D7">
            <w:pPr>
              <w:rPr>
                <w:rFonts w:ascii="Arial Narrow" w:hAnsi="Arial Narrow"/>
                <w:b/>
                <w:bCs/>
                <w:sz w:val="16"/>
              </w:rPr>
            </w:pPr>
            <w:r>
              <w:rPr>
                <w:b/>
                <w:bCs/>
                <w:sz w:val="32"/>
              </w:rPr>
              <w:pict w14:anchorId="2DB01C5F">
                <v:rect id="_x0000_i1025" style="width:0;height:1.5pt" o:hralign="center" o:hrstd="t" o:hr="t" fillcolor="#9d9da1" stroked="f"/>
              </w:pict>
            </w:r>
            <w:r w:rsidR="00046737" w:rsidRPr="00D21DD3">
              <w:rPr>
                <w:rFonts w:ascii="Arial Narrow" w:hAnsi="Arial Narrow"/>
                <w:b/>
                <w:bCs/>
                <w:sz w:val="32"/>
              </w:rPr>
              <w:t>Appeal Rights</w:t>
            </w:r>
          </w:p>
          <w:p w14:paraId="0606D9B2" w14:textId="77777777" w:rsidR="00046737" w:rsidRPr="00D21DD3" w:rsidRDefault="00046737" w:rsidP="00F316D7">
            <w:pPr>
              <w:rPr>
                <w:bCs/>
                <w:sz w:val="16"/>
                <w:szCs w:val="16"/>
              </w:rPr>
            </w:pPr>
            <w:r w:rsidRPr="00D21DD3">
              <w:rPr>
                <w:i/>
                <w:iCs/>
                <w:sz w:val="16"/>
              </w:rPr>
              <w:t xml:space="preserve">PLANNING ACT 2016 &amp; </w:t>
            </w:r>
            <w:r>
              <w:rPr>
                <w:i/>
                <w:iCs/>
                <w:sz w:val="16"/>
              </w:rPr>
              <w:t xml:space="preserve">THE </w:t>
            </w:r>
            <w:r w:rsidRPr="00D21DD3">
              <w:rPr>
                <w:i/>
                <w:iCs/>
                <w:sz w:val="16"/>
              </w:rPr>
              <w:t xml:space="preserve">PLANNING REGULATION </w:t>
            </w:r>
            <w:r w:rsidRPr="00FD4567">
              <w:rPr>
                <w:i/>
                <w:iCs/>
                <w:sz w:val="16"/>
              </w:rPr>
              <w:t>2017</w:t>
            </w:r>
          </w:p>
          <w:p w14:paraId="4FDA3570" w14:textId="77777777" w:rsidR="00046737" w:rsidRDefault="008E5DFC" w:rsidP="00F316D7">
            <w:pPr>
              <w:jc w:val="left"/>
            </w:pPr>
            <w:r>
              <w:rPr>
                <w:b/>
                <w:bCs/>
                <w:sz w:val="32"/>
              </w:rPr>
              <w:pict w14:anchorId="583D2A39">
                <v:rect id="_x0000_i1026" style="width:0;height:1.5pt" o:hrstd="t" o:hr="t" fillcolor="#9d9da1" stroked="f"/>
              </w:pict>
            </w:r>
          </w:p>
        </w:tc>
      </w:tr>
    </w:tbl>
    <w:p w14:paraId="345981B4" w14:textId="77777777" w:rsidR="00046737" w:rsidRPr="00667C0C" w:rsidRDefault="00046737" w:rsidP="00046737">
      <w:pPr>
        <w:rPr>
          <w:b/>
          <w:sz w:val="16"/>
          <w:szCs w:val="16"/>
        </w:rPr>
      </w:pPr>
      <w:r w:rsidRPr="00667C0C">
        <w:rPr>
          <w:b/>
          <w:sz w:val="16"/>
          <w:szCs w:val="16"/>
        </w:rPr>
        <w:t>Chapter 6 Dispute resolution</w:t>
      </w:r>
    </w:p>
    <w:p w14:paraId="68D1A61D" w14:textId="77777777" w:rsidR="00046737" w:rsidRPr="00D21DD3" w:rsidRDefault="00046737" w:rsidP="00046737">
      <w:pPr>
        <w:rPr>
          <w:sz w:val="16"/>
          <w:szCs w:val="16"/>
        </w:rPr>
      </w:pPr>
    </w:p>
    <w:p w14:paraId="4DDE9611" w14:textId="77777777" w:rsidR="00046737" w:rsidRPr="00667C0C" w:rsidRDefault="00046737" w:rsidP="00046737">
      <w:pPr>
        <w:rPr>
          <w:b/>
          <w:sz w:val="16"/>
          <w:szCs w:val="16"/>
        </w:rPr>
      </w:pPr>
      <w:r w:rsidRPr="00667C0C">
        <w:rPr>
          <w:b/>
          <w:sz w:val="16"/>
          <w:szCs w:val="16"/>
        </w:rPr>
        <w:t>Part 1 Appeal rights</w:t>
      </w:r>
    </w:p>
    <w:p w14:paraId="6F2FDF24" w14:textId="77777777" w:rsidR="00046737" w:rsidRPr="00D21DD3" w:rsidRDefault="00046737" w:rsidP="00046737">
      <w:pPr>
        <w:rPr>
          <w:sz w:val="16"/>
          <w:szCs w:val="16"/>
        </w:rPr>
      </w:pPr>
    </w:p>
    <w:p w14:paraId="1A906789" w14:textId="77777777" w:rsidR="00046737" w:rsidRPr="00667C0C" w:rsidRDefault="00046737" w:rsidP="00046737">
      <w:pPr>
        <w:rPr>
          <w:b/>
          <w:sz w:val="16"/>
          <w:szCs w:val="16"/>
        </w:rPr>
      </w:pPr>
      <w:r w:rsidRPr="00667C0C">
        <w:rPr>
          <w:b/>
          <w:sz w:val="16"/>
          <w:szCs w:val="16"/>
        </w:rPr>
        <w:t>229 Appeals to tribunal or P&amp;E Court</w:t>
      </w:r>
    </w:p>
    <w:p w14:paraId="30E0A533" w14:textId="77777777" w:rsidR="00046737" w:rsidRPr="00D21DD3" w:rsidRDefault="00046737" w:rsidP="00046737">
      <w:pPr>
        <w:rPr>
          <w:sz w:val="16"/>
          <w:szCs w:val="16"/>
        </w:rPr>
      </w:pPr>
    </w:p>
    <w:p w14:paraId="352E525F" w14:textId="77777777" w:rsidR="00046737" w:rsidRPr="00493D2B" w:rsidRDefault="00046737" w:rsidP="00074298">
      <w:pPr>
        <w:numPr>
          <w:ilvl w:val="0"/>
          <w:numId w:val="4"/>
        </w:numPr>
        <w:contextualSpacing/>
        <w:rPr>
          <w:sz w:val="16"/>
          <w:szCs w:val="16"/>
        </w:rPr>
      </w:pPr>
      <w:r w:rsidRPr="00D21DD3">
        <w:rPr>
          <w:sz w:val="16"/>
          <w:szCs w:val="16"/>
          <w:u w:val="single"/>
        </w:rPr>
        <w:t xml:space="preserve">Schedule </w:t>
      </w:r>
      <w:r w:rsidRPr="00493D2B">
        <w:rPr>
          <w:sz w:val="16"/>
          <w:szCs w:val="16"/>
          <w:u w:val="single"/>
        </w:rPr>
        <w:t xml:space="preserve">1 of the </w:t>
      </w:r>
      <w:r w:rsidRPr="00493D2B">
        <w:rPr>
          <w:i/>
          <w:sz w:val="16"/>
          <w:szCs w:val="16"/>
          <w:u w:val="single"/>
        </w:rPr>
        <w:t>Planning Act 2016</w:t>
      </w:r>
      <w:r w:rsidRPr="00493D2B">
        <w:rPr>
          <w:sz w:val="16"/>
          <w:szCs w:val="16"/>
          <w:u w:val="single"/>
        </w:rPr>
        <w:t xml:space="preserve"> states</w:t>
      </w:r>
      <w:r w:rsidRPr="00493D2B">
        <w:rPr>
          <w:sz w:val="16"/>
          <w:szCs w:val="16"/>
        </w:rPr>
        <w:t xml:space="preserve"> –</w:t>
      </w:r>
    </w:p>
    <w:p w14:paraId="4D1ACCDE" w14:textId="77777777" w:rsidR="00046737" w:rsidRPr="00493D2B" w:rsidRDefault="00046737" w:rsidP="00074298">
      <w:pPr>
        <w:numPr>
          <w:ilvl w:val="0"/>
          <w:numId w:val="5"/>
        </w:numPr>
        <w:contextualSpacing/>
        <w:rPr>
          <w:sz w:val="16"/>
          <w:szCs w:val="16"/>
        </w:rPr>
      </w:pPr>
      <w:r w:rsidRPr="00493D2B">
        <w:rPr>
          <w:sz w:val="16"/>
          <w:szCs w:val="16"/>
        </w:rPr>
        <w:t xml:space="preserve">Matters that may be appealed to – </w:t>
      </w:r>
    </w:p>
    <w:p w14:paraId="18324FFF" w14:textId="77777777" w:rsidR="00046737" w:rsidRPr="00493D2B" w:rsidRDefault="00046737" w:rsidP="00074298">
      <w:pPr>
        <w:numPr>
          <w:ilvl w:val="0"/>
          <w:numId w:val="6"/>
        </w:numPr>
        <w:contextualSpacing/>
        <w:rPr>
          <w:sz w:val="16"/>
          <w:szCs w:val="16"/>
        </w:rPr>
      </w:pPr>
      <w:r w:rsidRPr="00493D2B">
        <w:rPr>
          <w:sz w:val="16"/>
          <w:szCs w:val="16"/>
        </w:rPr>
        <w:t>either a tribunal or the P&amp;E Court; or</w:t>
      </w:r>
    </w:p>
    <w:p w14:paraId="5D3399F7" w14:textId="77777777" w:rsidR="00046737" w:rsidRPr="00493D2B" w:rsidRDefault="00046737" w:rsidP="00074298">
      <w:pPr>
        <w:numPr>
          <w:ilvl w:val="0"/>
          <w:numId w:val="6"/>
        </w:numPr>
        <w:contextualSpacing/>
        <w:rPr>
          <w:sz w:val="16"/>
          <w:szCs w:val="16"/>
        </w:rPr>
      </w:pPr>
      <w:r w:rsidRPr="00493D2B">
        <w:rPr>
          <w:sz w:val="16"/>
          <w:szCs w:val="16"/>
        </w:rPr>
        <w:t>only a tribunal; or</w:t>
      </w:r>
    </w:p>
    <w:p w14:paraId="1FA678A4" w14:textId="77777777" w:rsidR="00046737" w:rsidRPr="00493D2B" w:rsidRDefault="00046737" w:rsidP="00074298">
      <w:pPr>
        <w:numPr>
          <w:ilvl w:val="0"/>
          <w:numId w:val="6"/>
        </w:numPr>
        <w:contextualSpacing/>
        <w:rPr>
          <w:sz w:val="16"/>
          <w:szCs w:val="16"/>
        </w:rPr>
      </w:pPr>
      <w:r w:rsidRPr="00493D2B">
        <w:rPr>
          <w:sz w:val="16"/>
          <w:szCs w:val="16"/>
        </w:rPr>
        <w:t>only the P&amp;E Court; and</w:t>
      </w:r>
    </w:p>
    <w:p w14:paraId="506EF23C" w14:textId="77777777" w:rsidR="00046737" w:rsidRPr="00493D2B" w:rsidRDefault="00046737" w:rsidP="00074298">
      <w:pPr>
        <w:numPr>
          <w:ilvl w:val="0"/>
          <w:numId w:val="5"/>
        </w:numPr>
        <w:contextualSpacing/>
        <w:rPr>
          <w:sz w:val="16"/>
          <w:szCs w:val="16"/>
        </w:rPr>
      </w:pPr>
      <w:r w:rsidRPr="00493D2B">
        <w:rPr>
          <w:sz w:val="16"/>
          <w:szCs w:val="16"/>
        </w:rPr>
        <w:t>The person-</w:t>
      </w:r>
    </w:p>
    <w:p w14:paraId="4B4FCCA6" w14:textId="77777777" w:rsidR="00046737" w:rsidRPr="00493D2B" w:rsidRDefault="00046737" w:rsidP="00074298">
      <w:pPr>
        <w:numPr>
          <w:ilvl w:val="0"/>
          <w:numId w:val="7"/>
        </w:numPr>
        <w:contextualSpacing/>
        <w:rPr>
          <w:sz w:val="16"/>
          <w:szCs w:val="16"/>
        </w:rPr>
      </w:pPr>
      <w:r w:rsidRPr="00493D2B">
        <w:rPr>
          <w:sz w:val="16"/>
          <w:szCs w:val="16"/>
        </w:rPr>
        <w:t>who may appeal a matter (</w:t>
      </w:r>
      <w:r w:rsidRPr="00493D2B">
        <w:rPr>
          <w:b/>
          <w:sz w:val="16"/>
          <w:szCs w:val="16"/>
        </w:rPr>
        <w:t xml:space="preserve">the </w:t>
      </w:r>
      <w:r w:rsidRPr="00493D2B">
        <w:rPr>
          <w:b/>
          <w:i/>
          <w:sz w:val="16"/>
          <w:szCs w:val="16"/>
        </w:rPr>
        <w:t>appellant</w:t>
      </w:r>
      <w:r w:rsidRPr="00493D2B">
        <w:rPr>
          <w:sz w:val="16"/>
          <w:szCs w:val="16"/>
        </w:rPr>
        <w:t xml:space="preserve">); and </w:t>
      </w:r>
    </w:p>
    <w:p w14:paraId="4F6AE8E0" w14:textId="77777777" w:rsidR="00046737" w:rsidRPr="00493D2B" w:rsidRDefault="00046737" w:rsidP="00074298">
      <w:pPr>
        <w:numPr>
          <w:ilvl w:val="0"/>
          <w:numId w:val="7"/>
        </w:numPr>
        <w:contextualSpacing/>
        <w:rPr>
          <w:sz w:val="16"/>
          <w:szCs w:val="16"/>
        </w:rPr>
      </w:pPr>
      <w:r w:rsidRPr="00493D2B">
        <w:rPr>
          <w:sz w:val="16"/>
          <w:szCs w:val="16"/>
        </w:rPr>
        <w:t>who is a respondent in an appeal of the matter; and</w:t>
      </w:r>
    </w:p>
    <w:p w14:paraId="5374BAC8" w14:textId="77777777" w:rsidR="00046737" w:rsidRPr="00493D2B" w:rsidRDefault="00046737" w:rsidP="00074298">
      <w:pPr>
        <w:numPr>
          <w:ilvl w:val="0"/>
          <w:numId w:val="7"/>
        </w:numPr>
        <w:contextualSpacing/>
        <w:rPr>
          <w:sz w:val="16"/>
          <w:szCs w:val="16"/>
        </w:rPr>
      </w:pPr>
      <w:r w:rsidRPr="00493D2B">
        <w:rPr>
          <w:sz w:val="16"/>
          <w:szCs w:val="16"/>
        </w:rPr>
        <w:t>who is a co-respondent in an appeal of the matter; and</w:t>
      </w:r>
    </w:p>
    <w:p w14:paraId="402E6997" w14:textId="77777777" w:rsidR="00046737" w:rsidRPr="00493D2B" w:rsidRDefault="00046737" w:rsidP="00074298">
      <w:pPr>
        <w:numPr>
          <w:ilvl w:val="0"/>
          <w:numId w:val="7"/>
        </w:numPr>
        <w:contextualSpacing/>
        <w:rPr>
          <w:sz w:val="16"/>
          <w:szCs w:val="16"/>
        </w:rPr>
      </w:pPr>
      <w:r w:rsidRPr="00493D2B">
        <w:rPr>
          <w:sz w:val="16"/>
          <w:szCs w:val="16"/>
        </w:rPr>
        <w:t>who may elect to be a co-respondent in an appeal of the matter.</w:t>
      </w:r>
    </w:p>
    <w:p w14:paraId="4F95A504" w14:textId="77777777" w:rsidR="00046737" w:rsidRPr="00493D2B" w:rsidRDefault="00046737" w:rsidP="00046737">
      <w:pPr>
        <w:rPr>
          <w:sz w:val="16"/>
          <w:szCs w:val="16"/>
        </w:rPr>
      </w:pPr>
    </w:p>
    <w:p w14:paraId="3AE85828" w14:textId="77777777" w:rsidR="00046737" w:rsidRPr="00493D2B" w:rsidRDefault="00046737" w:rsidP="00046737">
      <w:pPr>
        <w:ind w:left="360"/>
        <w:rPr>
          <w:sz w:val="16"/>
          <w:szCs w:val="16"/>
        </w:rPr>
      </w:pPr>
      <w:r w:rsidRPr="00493D2B">
        <w:rPr>
          <w:sz w:val="16"/>
          <w:szCs w:val="16"/>
        </w:rPr>
        <w:t xml:space="preserve">(Refer to Schedule 1 of the </w:t>
      </w:r>
      <w:r w:rsidRPr="00493D2B">
        <w:rPr>
          <w:i/>
          <w:sz w:val="16"/>
          <w:szCs w:val="16"/>
        </w:rPr>
        <w:t>Planning Act 2016</w:t>
      </w:r>
      <w:r w:rsidRPr="00493D2B">
        <w:rPr>
          <w:sz w:val="16"/>
          <w:szCs w:val="16"/>
        </w:rPr>
        <w:t>)</w:t>
      </w:r>
    </w:p>
    <w:p w14:paraId="7E8AB7DD" w14:textId="77777777" w:rsidR="00046737" w:rsidRPr="00493D2B" w:rsidRDefault="00046737" w:rsidP="00046737">
      <w:pPr>
        <w:rPr>
          <w:sz w:val="16"/>
          <w:szCs w:val="16"/>
        </w:rPr>
      </w:pPr>
    </w:p>
    <w:p w14:paraId="2ABCA87A" w14:textId="77777777" w:rsidR="00046737" w:rsidRPr="00D21DD3" w:rsidRDefault="00046737" w:rsidP="00074298">
      <w:pPr>
        <w:numPr>
          <w:ilvl w:val="0"/>
          <w:numId w:val="4"/>
        </w:numPr>
        <w:contextualSpacing/>
        <w:rPr>
          <w:sz w:val="16"/>
          <w:szCs w:val="16"/>
        </w:rPr>
      </w:pPr>
      <w:r w:rsidRPr="00493D2B">
        <w:rPr>
          <w:sz w:val="16"/>
          <w:szCs w:val="16"/>
        </w:rPr>
        <w:t>An appellant may start an</w:t>
      </w:r>
      <w:r w:rsidRPr="00D21DD3">
        <w:rPr>
          <w:sz w:val="16"/>
          <w:szCs w:val="16"/>
        </w:rPr>
        <w:t xml:space="preserve"> appeal within the appeal period.</w:t>
      </w:r>
    </w:p>
    <w:p w14:paraId="2298084B" w14:textId="77777777" w:rsidR="00046737" w:rsidRPr="00D21DD3" w:rsidRDefault="00046737" w:rsidP="00074298">
      <w:pPr>
        <w:numPr>
          <w:ilvl w:val="0"/>
          <w:numId w:val="4"/>
        </w:numPr>
        <w:contextualSpacing/>
        <w:rPr>
          <w:sz w:val="16"/>
          <w:szCs w:val="16"/>
        </w:rPr>
      </w:pPr>
      <w:r w:rsidRPr="00D21DD3">
        <w:rPr>
          <w:sz w:val="16"/>
          <w:szCs w:val="16"/>
        </w:rPr>
        <w:t xml:space="preserve">The </w:t>
      </w:r>
      <w:r w:rsidRPr="00667C0C">
        <w:rPr>
          <w:b/>
          <w:i/>
          <w:sz w:val="16"/>
          <w:szCs w:val="16"/>
        </w:rPr>
        <w:t>appeal period</w:t>
      </w:r>
      <w:r w:rsidRPr="00D21DD3">
        <w:rPr>
          <w:sz w:val="16"/>
          <w:szCs w:val="16"/>
        </w:rPr>
        <w:t xml:space="preserve"> is – </w:t>
      </w:r>
    </w:p>
    <w:p w14:paraId="3D82F306" w14:textId="77777777" w:rsidR="00046737" w:rsidRPr="00D21DD3" w:rsidRDefault="00046737" w:rsidP="00074298">
      <w:pPr>
        <w:numPr>
          <w:ilvl w:val="0"/>
          <w:numId w:val="8"/>
        </w:numPr>
        <w:contextualSpacing/>
        <w:rPr>
          <w:sz w:val="16"/>
          <w:szCs w:val="16"/>
        </w:rPr>
      </w:pPr>
      <w:r w:rsidRPr="00D21DD3">
        <w:rPr>
          <w:sz w:val="16"/>
          <w:szCs w:val="16"/>
        </w:rPr>
        <w:t>for an appeal by a building advisory agency – 10 business days after a decision notice for the decision is given to the agency; or</w:t>
      </w:r>
    </w:p>
    <w:p w14:paraId="63B1F57C" w14:textId="77777777" w:rsidR="00046737" w:rsidRPr="00D21DD3" w:rsidRDefault="00046737" w:rsidP="00074298">
      <w:pPr>
        <w:numPr>
          <w:ilvl w:val="0"/>
          <w:numId w:val="8"/>
        </w:numPr>
        <w:contextualSpacing/>
        <w:rPr>
          <w:sz w:val="16"/>
          <w:szCs w:val="16"/>
        </w:rPr>
      </w:pPr>
      <w:r w:rsidRPr="00D21DD3">
        <w:rPr>
          <w:sz w:val="16"/>
          <w:szCs w:val="16"/>
        </w:rPr>
        <w:t>for an appeal against a deemed refusal – at any time after the deemed refusal happens; or</w:t>
      </w:r>
    </w:p>
    <w:p w14:paraId="3D237AC0" w14:textId="77777777" w:rsidR="00046737" w:rsidRPr="00D21DD3" w:rsidRDefault="00046737" w:rsidP="00074298">
      <w:pPr>
        <w:numPr>
          <w:ilvl w:val="0"/>
          <w:numId w:val="8"/>
        </w:numPr>
        <w:contextualSpacing/>
        <w:rPr>
          <w:sz w:val="16"/>
          <w:szCs w:val="16"/>
        </w:rPr>
      </w:pPr>
      <w:r w:rsidRPr="00D21DD3">
        <w:rPr>
          <w:sz w:val="16"/>
          <w:szCs w:val="16"/>
        </w:rPr>
        <w:t>for an appeal against a decision of the Minister, under chapter 7, part 4, to register premises or to renew the registration of premises – 20 business days after a notice us published under section 269(3)(a) or (4); or</w:t>
      </w:r>
    </w:p>
    <w:p w14:paraId="1528F663" w14:textId="77777777" w:rsidR="00046737" w:rsidRPr="00D21DD3" w:rsidRDefault="00046737" w:rsidP="00074298">
      <w:pPr>
        <w:numPr>
          <w:ilvl w:val="0"/>
          <w:numId w:val="8"/>
        </w:numPr>
        <w:contextualSpacing/>
        <w:rPr>
          <w:sz w:val="16"/>
          <w:szCs w:val="16"/>
        </w:rPr>
      </w:pPr>
      <w:r w:rsidRPr="00D21DD3">
        <w:rPr>
          <w:sz w:val="16"/>
          <w:szCs w:val="16"/>
        </w:rPr>
        <w:t>for an appeal against an infrastructure charges notice – 20 business days after the infrastructure charges notice is given to the person; or</w:t>
      </w:r>
    </w:p>
    <w:p w14:paraId="5F80F740" w14:textId="77777777" w:rsidR="00046737" w:rsidRPr="00D21DD3" w:rsidRDefault="00046737" w:rsidP="00074298">
      <w:pPr>
        <w:numPr>
          <w:ilvl w:val="0"/>
          <w:numId w:val="8"/>
        </w:numPr>
        <w:contextualSpacing/>
        <w:rPr>
          <w:sz w:val="16"/>
          <w:szCs w:val="16"/>
        </w:rPr>
      </w:pPr>
      <w:r w:rsidRPr="00D21DD3">
        <w:rPr>
          <w:sz w:val="16"/>
          <w:szCs w:val="16"/>
        </w:rPr>
        <w:t>for an appeal about a deemed approval of a development application for which a decision notice has not been given – 30 business days after the applicant gives the deemed approval notice to the assessment manager; or</w:t>
      </w:r>
    </w:p>
    <w:p w14:paraId="719A306F" w14:textId="77777777" w:rsidR="00046737" w:rsidRPr="00D21DD3" w:rsidRDefault="00046737" w:rsidP="00074298">
      <w:pPr>
        <w:numPr>
          <w:ilvl w:val="0"/>
          <w:numId w:val="8"/>
        </w:numPr>
        <w:contextualSpacing/>
        <w:rPr>
          <w:sz w:val="16"/>
          <w:szCs w:val="16"/>
        </w:rPr>
      </w:pPr>
      <w:r w:rsidRPr="00D21DD3">
        <w:rPr>
          <w:sz w:val="16"/>
          <w:szCs w:val="16"/>
        </w:rPr>
        <w:t>for any other appeal – 20 business days after a notice of the decision for the matter, including an enforcement notice, is given to the person.</w:t>
      </w:r>
    </w:p>
    <w:p w14:paraId="4340F887" w14:textId="77777777" w:rsidR="00046737" w:rsidRPr="00D21DD3" w:rsidRDefault="00046737" w:rsidP="00046737">
      <w:pPr>
        <w:rPr>
          <w:sz w:val="16"/>
          <w:szCs w:val="16"/>
        </w:rPr>
      </w:pPr>
    </w:p>
    <w:p w14:paraId="2E8B2398" w14:textId="77777777" w:rsidR="00046737" w:rsidRPr="00D21DD3" w:rsidRDefault="00046737" w:rsidP="00046737">
      <w:pPr>
        <w:ind w:left="720"/>
        <w:rPr>
          <w:i/>
          <w:sz w:val="16"/>
          <w:szCs w:val="16"/>
        </w:rPr>
      </w:pPr>
      <w:r w:rsidRPr="00D21DD3">
        <w:rPr>
          <w:i/>
          <w:sz w:val="16"/>
          <w:szCs w:val="16"/>
        </w:rPr>
        <w:t>Note –</w:t>
      </w:r>
    </w:p>
    <w:p w14:paraId="2AE13BD0" w14:textId="77777777" w:rsidR="00046737" w:rsidRPr="00D21DD3" w:rsidRDefault="00046737" w:rsidP="00046737">
      <w:pPr>
        <w:ind w:left="720"/>
        <w:rPr>
          <w:i/>
          <w:sz w:val="16"/>
          <w:szCs w:val="16"/>
        </w:rPr>
      </w:pPr>
      <w:r w:rsidRPr="00D21DD3">
        <w:rPr>
          <w:i/>
          <w:sz w:val="16"/>
          <w:szCs w:val="16"/>
        </w:rPr>
        <w:t>See the P&amp;E Court Act for the court’s power to extend the appeal period.</w:t>
      </w:r>
    </w:p>
    <w:p w14:paraId="1DC059E1" w14:textId="77777777" w:rsidR="00046737" w:rsidRPr="00D21DD3" w:rsidRDefault="00046737" w:rsidP="00046737">
      <w:pPr>
        <w:rPr>
          <w:i/>
          <w:sz w:val="16"/>
          <w:szCs w:val="16"/>
        </w:rPr>
      </w:pPr>
    </w:p>
    <w:p w14:paraId="7744D2DE" w14:textId="77777777" w:rsidR="00046737" w:rsidRPr="00D21DD3" w:rsidRDefault="00046737" w:rsidP="00074298">
      <w:pPr>
        <w:numPr>
          <w:ilvl w:val="0"/>
          <w:numId w:val="4"/>
        </w:numPr>
        <w:contextualSpacing/>
        <w:rPr>
          <w:sz w:val="16"/>
          <w:szCs w:val="16"/>
        </w:rPr>
      </w:pPr>
      <w:r w:rsidRPr="00D21DD3">
        <w:rPr>
          <w:sz w:val="16"/>
          <w:szCs w:val="16"/>
        </w:rPr>
        <w:t>Each respondent and co-respondent for an appeal may be heard in the appeal.</w:t>
      </w:r>
    </w:p>
    <w:p w14:paraId="265A8F74" w14:textId="77777777" w:rsidR="00046737" w:rsidRPr="00D21DD3" w:rsidRDefault="00046737" w:rsidP="00074298">
      <w:pPr>
        <w:numPr>
          <w:ilvl w:val="0"/>
          <w:numId w:val="4"/>
        </w:numPr>
        <w:contextualSpacing/>
        <w:rPr>
          <w:sz w:val="16"/>
          <w:szCs w:val="16"/>
        </w:rPr>
      </w:pPr>
      <w:r w:rsidRPr="00D21DD3">
        <w:rPr>
          <w:sz w:val="16"/>
          <w:szCs w:val="16"/>
        </w:rPr>
        <w:t>If an appeal is only about a referral agency’s response, the assessment manager may apply to the tribunal or P&amp;E Court to withdraw from the appeal.</w:t>
      </w:r>
    </w:p>
    <w:p w14:paraId="7B3E11E7" w14:textId="77777777" w:rsidR="00046737" w:rsidRPr="00D21DD3" w:rsidRDefault="00046737" w:rsidP="00074298">
      <w:pPr>
        <w:numPr>
          <w:ilvl w:val="0"/>
          <w:numId w:val="4"/>
        </w:numPr>
        <w:contextualSpacing/>
        <w:rPr>
          <w:sz w:val="16"/>
          <w:szCs w:val="16"/>
        </w:rPr>
      </w:pPr>
      <w:r w:rsidRPr="00D21DD3">
        <w:rPr>
          <w:sz w:val="16"/>
          <w:szCs w:val="16"/>
        </w:rPr>
        <w:t>To remove any doubt. It is declared that an appeal against an infrastructure charges notice must not be about-</w:t>
      </w:r>
    </w:p>
    <w:p w14:paraId="1741D709" w14:textId="77777777" w:rsidR="00046737" w:rsidRPr="00D21DD3" w:rsidRDefault="00046737" w:rsidP="00074298">
      <w:pPr>
        <w:numPr>
          <w:ilvl w:val="0"/>
          <w:numId w:val="11"/>
        </w:numPr>
        <w:contextualSpacing/>
        <w:rPr>
          <w:sz w:val="16"/>
          <w:szCs w:val="16"/>
        </w:rPr>
      </w:pPr>
      <w:r w:rsidRPr="00D21DD3">
        <w:rPr>
          <w:sz w:val="16"/>
          <w:szCs w:val="16"/>
        </w:rPr>
        <w:t>the adopted charge itself; or</w:t>
      </w:r>
    </w:p>
    <w:p w14:paraId="53E34185" w14:textId="77777777" w:rsidR="00046737" w:rsidRPr="00D21DD3" w:rsidRDefault="00046737" w:rsidP="00074298">
      <w:pPr>
        <w:numPr>
          <w:ilvl w:val="0"/>
          <w:numId w:val="11"/>
        </w:numPr>
        <w:contextualSpacing/>
        <w:rPr>
          <w:sz w:val="16"/>
          <w:szCs w:val="16"/>
        </w:rPr>
      </w:pPr>
      <w:r w:rsidRPr="00D21DD3">
        <w:rPr>
          <w:sz w:val="16"/>
          <w:szCs w:val="16"/>
        </w:rPr>
        <w:t>for a decision about an offset or refund-</w:t>
      </w:r>
    </w:p>
    <w:p w14:paraId="50556F92" w14:textId="77777777" w:rsidR="00046737" w:rsidRPr="00D21DD3" w:rsidRDefault="00046737" w:rsidP="00074298">
      <w:pPr>
        <w:numPr>
          <w:ilvl w:val="0"/>
          <w:numId w:val="12"/>
        </w:numPr>
        <w:contextualSpacing/>
        <w:rPr>
          <w:sz w:val="16"/>
          <w:szCs w:val="16"/>
        </w:rPr>
      </w:pPr>
      <w:r w:rsidRPr="00D21DD3">
        <w:rPr>
          <w:sz w:val="16"/>
          <w:szCs w:val="16"/>
        </w:rPr>
        <w:t>the establishment cost of trunk infrastructure identified in a LGIP; or</w:t>
      </w:r>
    </w:p>
    <w:p w14:paraId="78A60F39" w14:textId="77777777" w:rsidR="00046737" w:rsidRPr="00D21DD3" w:rsidRDefault="00046737" w:rsidP="00074298">
      <w:pPr>
        <w:numPr>
          <w:ilvl w:val="0"/>
          <w:numId w:val="12"/>
        </w:numPr>
        <w:contextualSpacing/>
        <w:rPr>
          <w:sz w:val="16"/>
          <w:szCs w:val="16"/>
        </w:rPr>
      </w:pPr>
      <w:r w:rsidRPr="00D21DD3">
        <w:rPr>
          <w:sz w:val="16"/>
          <w:szCs w:val="16"/>
        </w:rPr>
        <w:t>the cost of infrastructure decided using the method included in the local government’s charges resolution.</w:t>
      </w:r>
    </w:p>
    <w:p w14:paraId="15A30016" w14:textId="77777777" w:rsidR="00046737" w:rsidRPr="00D21DD3" w:rsidRDefault="00046737" w:rsidP="00046737">
      <w:pPr>
        <w:rPr>
          <w:sz w:val="16"/>
          <w:szCs w:val="16"/>
        </w:rPr>
      </w:pPr>
    </w:p>
    <w:p w14:paraId="29470191" w14:textId="77777777" w:rsidR="00046737" w:rsidRPr="00667C0C" w:rsidRDefault="00046737" w:rsidP="00046737">
      <w:pPr>
        <w:rPr>
          <w:b/>
          <w:sz w:val="16"/>
          <w:szCs w:val="16"/>
        </w:rPr>
      </w:pPr>
      <w:r w:rsidRPr="00667C0C">
        <w:rPr>
          <w:b/>
          <w:sz w:val="16"/>
          <w:szCs w:val="16"/>
        </w:rPr>
        <w:t>230 Notice of appeal</w:t>
      </w:r>
    </w:p>
    <w:p w14:paraId="2413ECA6" w14:textId="77777777" w:rsidR="00046737" w:rsidRPr="00D21DD3" w:rsidRDefault="00046737" w:rsidP="00046737">
      <w:pPr>
        <w:rPr>
          <w:sz w:val="16"/>
          <w:szCs w:val="16"/>
        </w:rPr>
      </w:pPr>
    </w:p>
    <w:p w14:paraId="2B6A4F08" w14:textId="77777777" w:rsidR="00046737" w:rsidRPr="00D21DD3" w:rsidRDefault="00046737" w:rsidP="00074298">
      <w:pPr>
        <w:numPr>
          <w:ilvl w:val="0"/>
          <w:numId w:val="13"/>
        </w:numPr>
        <w:contextualSpacing/>
        <w:rPr>
          <w:sz w:val="16"/>
          <w:szCs w:val="16"/>
        </w:rPr>
      </w:pPr>
      <w:r w:rsidRPr="00D21DD3">
        <w:rPr>
          <w:sz w:val="16"/>
          <w:szCs w:val="16"/>
        </w:rPr>
        <w:t>An appellant starts an appeal by lodging, with the registrar of the tribunal or P&amp;E Court, a notice of appeal that-</w:t>
      </w:r>
    </w:p>
    <w:p w14:paraId="2866BEA0" w14:textId="77777777" w:rsidR="00046737" w:rsidRPr="00D21DD3" w:rsidRDefault="00046737" w:rsidP="00074298">
      <w:pPr>
        <w:numPr>
          <w:ilvl w:val="0"/>
          <w:numId w:val="14"/>
        </w:numPr>
        <w:contextualSpacing/>
        <w:rPr>
          <w:sz w:val="16"/>
          <w:szCs w:val="16"/>
        </w:rPr>
      </w:pPr>
      <w:r w:rsidRPr="00D21DD3">
        <w:rPr>
          <w:sz w:val="16"/>
          <w:szCs w:val="16"/>
        </w:rPr>
        <w:t>is in the approved form; and</w:t>
      </w:r>
    </w:p>
    <w:p w14:paraId="08ABB601" w14:textId="77777777" w:rsidR="00046737" w:rsidRPr="00D21DD3" w:rsidRDefault="00046737" w:rsidP="00074298">
      <w:pPr>
        <w:numPr>
          <w:ilvl w:val="0"/>
          <w:numId w:val="14"/>
        </w:numPr>
        <w:contextualSpacing/>
        <w:rPr>
          <w:sz w:val="16"/>
          <w:szCs w:val="16"/>
        </w:rPr>
      </w:pPr>
      <w:r w:rsidRPr="00D21DD3">
        <w:rPr>
          <w:sz w:val="16"/>
          <w:szCs w:val="16"/>
        </w:rPr>
        <w:t>succinctly states the grounds of the appeal.</w:t>
      </w:r>
    </w:p>
    <w:p w14:paraId="3E71E87B" w14:textId="77777777" w:rsidR="00046737" w:rsidRPr="00D21DD3" w:rsidRDefault="00046737" w:rsidP="00074298">
      <w:pPr>
        <w:numPr>
          <w:ilvl w:val="0"/>
          <w:numId w:val="13"/>
        </w:numPr>
        <w:contextualSpacing/>
        <w:rPr>
          <w:sz w:val="16"/>
          <w:szCs w:val="16"/>
        </w:rPr>
      </w:pPr>
      <w:r w:rsidRPr="00D21DD3">
        <w:rPr>
          <w:sz w:val="16"/>
          <w:szCs w:val="16"/>
        </w:rPr>
        <w:t>The notice of appeal must be accompanied by the required fee.</w:t>
      </w:r>
    </w:p>
    <w:p w14:paraId="32F07F4A" w14:textId="77777777" w:rsidR="00046737" w:rsidRPr="00D21DD3" w:rsidRDefault="00046737" w:rsidP="00074298">
      <w:pPr>
        <w:numPr>
          <w:ilvl w:val="0"/>
          <w:numId w:val="13"/>
        </w:numPr>
        <w:contextualSpacing/>
        <w:rPr>
          <w:sz w:val="16"/>
          <w:szCs w:val="16"/>
        </w:rPr>
      </w:pPr>
      <w:r w:rsidRPr="00D21DD3">
        <w:rPr>
          <w:sz w:val="16"/>
          <w:szCs w:val="16"/>
        </w:rPr>
        <w:t xml:space="preserve">The appellant or, for an appeal to a tribunal, the registrar must, within the service period, give a copy of the notice of appeal to – </w:t>
      </w:r>
    </w:p>
    <w:p w14:paraId="4F501419" w14:textId="77777777" w:rsidR="00046737" w:rsidRPr="00D21DD3" w:rsidRDefault="00046737" w:rsidP="00074298">
      <w:pPr>
        <w:numPr>
          <w:ilvl w:val="0"/>
          <w:numId w:val="15"/>
        </w:numPr>
        <w:contextualSpacing/>
        <w:rPr>
          <w:sz w:val="16"/>
          <w:szCs w:val="16"/>
        </w:rPr>
      </w:pPr>
      <w:r w:rsidRPr="00D21DD3">
        <w:rPr>
          <w:sz w:val="16"/>
          <w:szCs w:val="16"/>
        </w:rPr>
        <w:t xml:space="preserve">the respondent for the appeal ; and </w:t>
      </w:r>
    </w:p>
    <w:p w14:paraId="4E1FD13B" w14:textId="77777777" w:rsidR="00046737" w:rsidRPr="00D21DD3" w:rsidRDefault="00046737" w:rsidP="00074298">
      <w:pPr>
        <w:numPr>
          <w:ilvl w:val="0"/>
          <w:numId w:val="15"/>
        </w:numPr>
        <w:contextualSpacing/>
        <w:rPr>
          <w:sz w:val="16"/>
          <w:szCs w:val="16"/>
        </w:rPr>
      </w:pPr>
      <w:r w:rsidRPr="00D21DD3">
        <w:rPr>
          <w:sz w:val="16"/>
          <w:szCs w:val="16"/>
        </w:rPr>
        <w:t>each co-respondent for the appeal; and</w:t>
      </w:r>
    </w:p>
    <w:p w14:paraId="35AAAF95" w14:textId="77777777" w:rsidR="006D023E" w:rsidRPr="00C52F61" w:rsidRDefault="006D023E" w:rsidP="00074298">
      <w:pPr>
        <w:numPr>
          <w:ilvl w:val="0"/>
          <w:numId w:val="15"/>
        </w:numPr>
        <w:contextualSpacing/>
        <w:rPr>
          <w:sz w:val="16"/>
          <w:szCs w:val="16"/>
        </w:rPr>
      </w:pPr>
      <w:r w:rsidRPr="00C52F61">
        <w:rPr>
          <w:sz w:val="16"/>
          <w:szCs w:val="16"/>
        </w:rPr>
        <w:t>for an appeal about a development application under schedule 1, section 1, table 1, item 1—each principal submitter for the application whose submission has not been withdrawn; and</w:t>
      </w:r>
    </w:p>
    <w:p w14:paraId="701EB73A" w14:textId="77777777" w:rsidR="006D023E" w:rsidRPr="00C52F61" w:rsidRDefault="006D023E" w:rsidP="00074298">
      <w:pPr>
        <w:numPr>
          <w:ilvl w:val="0"/>
          <w:numId w:val="15"/>
        </w:numPr>
        <w:contextualSpacing/>
        <w:rPr>
          <w:sz w:val="16"/>
          <w:szCs w:val="16"/>
        </w:rPr>
      </w:pPr>
      <w:r w:rsidRPr="00C52F61">
        <w:rPr>
          <w:sz w:val="16"/>
          <w:szCs w:val="16"/>
        </w:rPr>
        <w:t>for an appeal about a change application under schedule 1, section 1, table 1, item 2—each principal submitter for the application whose submission has not been withdrawn; and</w:t>
      </w:r>
    </w:p>
    <w:p w14:paraId="65680C93" w14:textId="77777777" w:rsidR="006D023E" w:rsidRPr="00C52F61" w:rsidRDefault="006D023E" w:rsidP="00074298">
      <w:pPr>
        <w:numPr>
          <w:ilvl w:val="0"/>
          <w:numId w:val="15"/>
        </w:numPr>
        <w:contextualSpacing/>
        <w:rPr>
          <w:sz w:val="16"/>
          <w:szCs w:val="16"/>
        </w:rPr>
      </w:pPr>
      <w:r w:rsidRPr="00C52F61">
        <w:rPr>
          <w:sz w:val="16"/>
          <w:szCs w:val="16"/>
        </w:rPr>
        <w:t>each person who may elect to be a co-respondent for the appeal other than an eligible submitter for a development application or change application the subject of the appeal; and</w:t>
      </w:r>
    </w:p>
    <w:p w14:paraId="63B761CE" w14:textId="77777777" w:rsidR="00046737" w:rsidRPr="00D21DD3" w:rsidRDefault="00046737" w:rsidP="00074298">
      <w:pPr>
        <w:numPr>
          <w:ilvl w:val="0"/>
          <w:numId w:val="15"/>
        </w:numPr>
        <w:contextualSpacing/>
        <w:rPr>
          <w:sz w:val="16"/>
          <w:szCs w:val="16"/>
        </w:rPr>
      </w:pPr>
      <w:r w:rsidRPr="00D21DD3">
        <w:rPr>
          <w:sz w:val="16"/>
          <w:szCs w:val="16"/>
        </w:rPr>
        <w:t>for an appeal to the P&amp;E Court – the chief executive; and</w:t>
      </w:r>
    </w:p>
    <w:p w14:paraId="0D300616" w14:textId="77777777" w:rsidR="00046737" w:rsidRPr="00D21DD3" w:rsidRDefault="00046737" w:rsidP="00074298">
      <w:pPr>
        <w:numPr>
          <w:ilvl w:val="0"/>
          <w:numId w:val="15"/>
        </w:numPr>
        <w:contextualSpacing/>
        <w:rPr>
          <w:sz w:val="16"/>
          <w:szCs w:val="16"/>
        </w:rPr>
      </w:pPr>
      <w:r w:rsidRPr="00D21DD3">
        <w:rPr>
          <w:sz w:val="16"/>
          <w:szCs w:val="16"/>
        </w:rPr>
        <w:t>for an appeal to a tribunal under another Act – any other person who the registrar considers appropriate.</w:t>
      </w:r>
    </w:p>
    <w:p w14:paraId="06664333" w14:textId="77777777" w:rsidR="00046737" w:rsidRPr="00D21DD3" w:rsidRDefault="00046737" w:rsidP="00074298">
      <w:pPr>
        <w:numPr>
          <w:ilvl w:val="0"/>
          <w:numId w:val="13"/>
        </w:numPr>
        <w:contextualSpacing/>
        <w:rPr>
          <w:sz w:val="16"/>
          <w:szCs w:val="16"/>
        </w:rPr>
      </w:pPr>
      <w:r w:rsidRPr="00D21DD3">
        <w:rPr>
          <w:sz w:val="16"/>
          <w:szCs w:val="16"/>
        </w:rPr>
        <w:lastRenderedPageBreak/>
        <w:t xml:space="preserve">The </w:t>
      </w:r>
      <w:r w:rsidRPr="00D21DD3">
        <w:rPr>
          <w:i/>
          <w:sz w:val="16"/>
          <w:szCs w:val="16"/>
        </w:rPr>
        <w:t>service period</w:t>
      </w:r>
      <w:r w:rsidRPr="00D21DD3">
        <w:rPr>
          <w:sz w:val="16"/>
          <w:szCs w:val="16"/>
        </w:rPr>
        <w:t xml:space="preserve"> is – </w:t>
      </w:r>
    </w:p>
    <w:p w14:paraId="1C2CC0C3" w14:textId="77777777" w:rsidR="00046737" w:rsidRPr="00D21DD3" w:rsidRDefault="00046737" w:rsidP="00074298">
      <w:pPr>
        <w:numPr>
          <w:ilvl w:val="0"/>
          <w:numId w:val="16"/>
        </w:numPr>
        <w:contextualSpacing/>
        <w:rPr>
          <w:sz w:val="16"/>
          <w:szCs w:val="16"/>
        </w:rPr>
      </w:pPr>
      <w:r w:rsidRPr="00D21DD3">
        <w:rPr>
          <w:sz w:val="16"/>
          <w:szCs w:val="16"/>
        </w:rPr>
        <w:t>if a submitter or advice agency started the appeal in the P&amp;E Court – 2 business days after the appeal has started; or</w:t>
      </w:r>
    </w:p>
    <w:p w14:paraId="7BEBCC62" w14:textId="77777777" w:rsidR="00046737" w:rsidRPr="00D21DD3" w:rsidRDefault="00046737" w:rsidP="00074298">
      <w:pPr>
        <w:numPr>
          <w:ilvl w:val="0"/>
          <w:numId w:val="16"/>
        </w:numPr>
        <w:contextualSpacing/>
        <w:rPr>
          <w:sz w:val="16"/>
          <w:szCs w:val="16"/>
        </w:rPr>
      </w:pPr>
      <w:r w:rsidRPr="00D21DD3">
        <w:rPr>
          <w:sz w:val="16"/>
          <w:szCs w:val="16"/>
        </w:rPr>
        <w:t>otherwise – 10 business days after the appeal is started.</w:t>
      </w:r>
    </w:p>
    <w:p w14:paraId="200CB9C0" w14:textId="77777777" w:rsidR="00046737" w:rsidRPr="00D21DD3" w:rsidRDefault="00046737" w:rsidP="00074298">
      <w:pPr>
        <w:numPr>
          <w:ilvl w:val="0"/>
          <w:numId w:val="13"/>
        </w:numPr>
        <w:contextualSpacing/>
        <w:rPr>
          <w:sz w:val="16"/>
          <w:szCs w:val="16"/>
        </w:rPr>
      </w:pPr>
      <w:r w:rsidRPr="00D21DD3">
        <w:rPr>
          <w:sz w:val="16"/>
          <w:szCs w:val="16"/>
        </w:rPr>
        <w:t>A notice of appeal given to a person who may elect to be a co-respondent must state the effect of subsection (6).</w:t>
      </w:r>
    </w:p>
    <w:p w14:paraId="233EAED4" w14:textId="77777777" w:rsidR="006D023E" w:rsidRPr="006D023E" w:rsidRDefault="006D023E" w:rsidP="00074298">
      <w:pPr>
        <w:numPr>
          <w:ilvl w:val="0"/>
          <w:numId w:val="21"/>
        </w:numPr>
        <w:autoSpaceDE w:val="0"/>
        <w:autoSpaceDN w:val="0"/>
        <w:adjustRightInd w:val="0"/>
        <w:contextualSpacing/>
        <w:jc w:val="left"/>
        <w:rPr>
          <w:sz w:val="16"/>
          <w:szCs w:val="16"/>
          <w:lang w:eastAsia="en-US"/>
        </w:rPr>
      </w:pPr>
      <w:r w:rsidRPr="006D023E">
        <w:rPr>
          <w:sz w:val="16"/>
          <w:szCs w:val="16"/>
          <w:lang w:eastAsia="en-US"/>
        </w:rPr>
        <w:t xml:space="preserve">A person elects to be a co-respondent to an appeal by filing a notice of election in the approved form— </w:t>
      </w:r>
    </w:p>
    <w:p w14:paraId="36C5B7B5" w14:textId="77777777" w:rsidR="006D023E" w:rsidRPr="006D023E" w:rsidRDefault="006D023E" w:rsidP="00074298">
      <w:pPr>
        <w:numPr>
          <w:ilvl w:val="0"/>
          <w:numId w:val="20"/>
        </w:numPr>
        <w:contextualSpacing/>
        <w:jc w:val="left"/>
        <w:rPr>
          <w:sz w:val="16"/>
          <w:szCs w:val="16"/>
          <w:lang w:eastAsia="en-US"/>
        </w:rPr>
      </w:pPr>
      <w:r w:rsidRPr="006D023E">
        <w:rPr>
          <w:sz w:val="16"/>
          <w:szCs w:val="16"/>
          <w:lang w:eastAsia="en-US"/>
        </w:rPr>
        <w:t>if a copy of the notice of appeal is given to the person—within 10 business days after the copy is given to the person; or</w:t>
      </w:r>
    </w:p>
    <w:p w14:paraId="5A257989" w14:textId="77777777" w:rsidR="006D023E" w:rsidRPr="006D023E" w:rsidRDefault="006D023E" w:rsidP="00074298">
      <w:pPr>
        <w:numPr>
          <w:ilvl w:val="0"/>
          <w:numId w:val="20"/>
        </w:numPr>
        <w:contextualSpacing/>
        <w:jc w:val="left"/>
        <w:rPr>
          <w:sz w:val="16"/>
          <w:szCs w:val="16"/>
          <w:lang w:eastAsia="en-US"/>
        </w:rPr>
      </w:pPr>
      <w:r w:rsidRPr="006D023E">
        <w:rPr>
          <w:sz w:val="16"/>
          <w:szCs w:val="16"/>
          <w:lang w:eastAsia="en-US"/>
        </w:rPr>
        <w:t>otherwise—within 15 business days after the notice of appeal is lodged with the registrar of the tribunal or the P&amp;E Court.</w:t>
      </w:r>
    </w:p>
    <w:p w14:paraId="6AB4745A" w14:textId="77777777" w:rsidR="006D023E" w:rsidRPr="006D023E" w:rsidRDefault="006D023E" w:rsidP="00074298">
      <w:pPr>
        <w:numPr>
          <w:ilvl w:val="0"/>
          <w:numId w:val="21"/>
        </w:numPr>
        <w:autoSpaceDE w:val="0"/>
        <w:autoSpaceDN w:val="0"/>
        <w:adjustRightInd w:val="0"/>
        <w:contextualSpacing/>
        <w:jc w:val="left"/>
        <w:rPr>
          <w:sz w:val="16"/>
          <w:szCs w:val="16"/>
          <w:lang w:eastAsia="en-US"/>
        </w:rPr>
      </w:pPr>
      <w:r w:rsidRPr="006D023E">
        <w:rPr>
          <w:sz w:val="16"/>
          <w:szCs w:val="16"/>
          <w:lang w:eastAsia="en-US"/>
        </w:rPr>
        <w:t>Despite any other Act or rules of court to the contrary, a copy of a notice of appeal may be given to the chief executive by emailing the copy to the chief executive at the email address stated on the department’s website for this purpose.</w:t>
      </w:r>
    </w:p>
    <w:p w14:paraId="27E09D01" w14:textId="77777777" w:rsidR="00046737" w:rsidRPr="00C52F61" w:rsidRDefault="00046737" w:rsidP="00046737">
      <w:pPr>
        <w:rPr>
          <w:sz w:val="16"/>
          <w:szCs w:val="16"/>
        </w:rPr>
      </w:pPr>
    </w:p>
    <w:p w14:paraId="6EF3EFF3" w14:textId="77777777" w:rsidR="006D023E" w:rsidRPr="00D21DD3" w:rsidRDefault="006D023E" w:rsidP="00046737">
      <w:pPr>
        <w:rPr>
          <w:sz w:val="16"/>
          <w:szCs w:val="16"/>
        </w:rPr>
      </w:pPr>
    </w:p>
    <w:p w14:paraId="1F492D26" w14:textId="77777777" w:rsidR="00046737" w:rsidRPr="00CF7F7B" w:rsidRDefault="00046737" w:rsidP="00046737">
      <w:pPr>
        <w:rPr>
          <w:b/>
          <w:color w:val="FF0000"/>
          <w:sz w:val="16"/>
          <w:szCs w:val="16"/>
          <w:lang w:eastAsia="en-US"/>
        </w:rPr>
      </w:pPr>
      <w:r w:rsidRPr="00CF7F7B">
        <w:rPr>
          <w:b/>
          <w:sz w:val="16"/>
          <w:szCs w:val="16"/>
        </w:rPr>
        <w:t xml:space="preserve">231 </w:t>
      </w:r>
      <w:r w:rsidR="00C52F61" w:rsidRPr="00CF7F7B">
        <w:rPr>
          <w:b/>
          <w:sz w:val="16"/>
          <w:szCs w:val="16"/>
          <w:lang w:eastAsia="en-US"/>
        </w:rPr>
        <w:t>Non-appealable decisions and matters</w:t>
      </w:r>
    </w:p>
    <w:p w14:paraId="5555C59F" w14:textId="77777777" w:rsidR="00046737" w:rsidRPr="00D21DD3" w:rsidRDefault="00046737" w:rsidP="00046737">
      <w:pPr>
        <w:rPr>
          <w:sz w:val="16"/>
          <w:szCs w:val="16"/>
        </w:rPr>
      </w:pPr>
      <w:r w:rsidRPr="00D21DD3">
        <w:rPr>
          <w:sz w:val="16"/>
          <w:szCs w:val="16"/>
        </w:rPr>
        <w:tab/>
      </w:r>
    </w:p>
    <w:p w14:paraId="568B5527" w14:textId="77777777" w:rsidR="00046737" w:rsidRPr="00D21DD3" w:rsidRDefault="00046737" w:rsidP="00074298">
      <w:pPr>
        <w:numPr>
          <w:ilvl w:val="0"/>
          <w:numId w:val="9"/>
        </w:numPr>
        <w:contextualSpacing/>
        <w:rPr>
          <w:sz w:val="16"/>
          <w:szCs w:val="16"/>
        </w:rPr>
      </w:pPr>
      <w:r w:rsidRPr="00D21DD3">
        <w:rPr>
          <w:sz w:val="16"/>
          <w:szCs w:val="16"/>
        </w:rPr>
        <w:t>Subject to this chapter, schedule 1 and the P&amp;E Court Act, unless the Supreme Court decides a decision or other matter under this Act is affected by jurisdictional error, the decision or matter is non-appealable.</w:t>
      </w:r>
    </w:p>
    <w:p w14:paraId="3A4EA4B1" w14:textId="77777777" w:rsidR="00046737" w:rsidRPr="00D21DD3" w:rsidRDefault="00046737" w:rsidP="00074298">
      <w:pPr>
        <w:numPr>
          <w:ilvl w:val="0"/>
          <w:numId w:val="9"/>
        </w:numPr>
        <w:contextualSpacing/>
        <w:rPr>
          <w:sz w:val="16"/>
          <w:szCs w:val="16"/>
        </w:rPr>
      </w:pPr>
      <w:r w:rsidRPr="00D21DD3">
        <w:rPr>
          <w:sz w:val="16"/>
          <w:szCs w:val="16"/>
        </w:rPr>
        <w:t xml:space="preserve">The </w:t>
      </w:r>
      <w:r w:rsidRPr="00D21DD3">
        <w:rPr>
          <w:i/>
          <w:sz w:val="16"/>
          <w:szCs w:val="16"/>
        </w:rPr>
        <w:t>Judicial Review Act 1991</w:t>
      </w:r>
      <w:r w:rsidRPr="00D21DD3">
        <w:rPr>
          <w:sz w:val="16"/>
          <w:szCs w:val="16"/>
        </w:rPr>
        <w:t>, part 5 applies to the decision or matter to the extent it is affected by jurisdictional error.</w:t>
      </w:r>
    </w:p>
    <w:p w14:paraId="7610E6E0" w14:textId="77777777" w:rsidR="00046737" w:rsidRPr="00D21DD3" w:rsidRDefault="00046737" w:rsidP="00074298">
      <w:pPr>
        <w:numPr>
          <w:ilvl w:val="0"/>
          <w:numId w:val="9"/>
        </w:numPr>
        <w:contextualSpacing/>
        <w:rPr>
          <w:sz w:val="16"/>
          <w:szCs w:val="16"/>
        </w:rPr>
      </w:pPr>
      <w:r w:rsidRPr="00D21DD3">
        <w:rPr>
          <w:sz w:val="16"/>
          <w:szCs w:val="16"/>
        </w:rPr>
        <w:t>A person who, but for subsection (1) could have made an application under the Judicial Review Act 1991 in relation to the decision or matter, may apply under part 4 of that Act for a statement of reasons in relation to the decision or matter.</w:t>
      </w:r>
    </w:p>
    <w:p w14:paraId="017611A5" w14:textId="77777777" w:rsidR="00046737" w:rsidRPr="00D21DD3" w:rsidRDefault="00046737" w:rsidP="00074298">
      <w:pPr>
        <w:numPr>
          <w:ilvl w:val="0"/>
          <w:numId w:val="9"/>
        </w:numPr>
        <w:contextualSpacing/>
        <w:rPr>
          <w:sz w:val="16"/>
          <w:szCs w:val="16"/>
        </w:rPr>
      </w:pPr>
      <w:r w:rsidRPr="00D21DD3">
        <w:rPr>
          <w:sz w:val="16"/>
          <w:szCs w:val="16"/>
        </w:rPr>
        <w:t>In this section –</w:t>
      </w:r>
    </w:p>
    <w:p w14:paraId="298F9A92" w14:textId="77777777" w:rsidR="00046737" w:rsidRPr="00D21DD3" w:rsidRDefault="00046737" w:rsidP="00046737">
      <w:pPr>
        <w:ind w:left="644"/>
        <w:contextualSpacing/>
        <w:rPr>
          <w:sz w:val="16"/>
          <w:szCs w:val="16"/>
        </w:rPr>
      </w:pPr>
      <w:r w:rsidRPr="00D21DD3">
        <w:rPr>
          <w:i/>
          <w:sz w:val="16"/>
          <w:szCs w:val="16"/>
        </w:rPr>
        <w:t xml:space="preserve">decision </w:t>
      </w:r>
      <w:r w:rsidRPr="00D21DD3">
        <w:rPr>
          <w:sz w:val="16"/>
          <w:szCs w:val="16"/>
        </w:rPr>
        <w:t>includes-</w:t>
      </w:r>
    </w:p>
    <w:p w14:paraId="05298C4A" w14:textId="77777777" w:rsidR="00046737" w:rsidRPr="00D21DD3" w:rsidRDefault="00046737" w:rsidP="00074298">
      <w:pPr>
        <w:numPr>
          <w:ilvl w:val="0"/>
          <w:numId w:val="17"/>
        </w:numPr>
        <w:contextualSpacing/>
        <w:rPr>
          <w:sz w:val="16"/>
          <w:szCs w:val="16"/>
        </w:rPr>
      </w:pPr>
      <w:r w:rsidRPr="00D21DD3">
        <w:rPr>
          <w:sz w:val="16"/>
          <w:szCs w:val="16"/>
        </w:rPr>
        <w:t>conduct engaged in for the purpose of making a decision; and</w:t>
      </w:r>
    </w:p>
    <w:p w14:paraId="25F7A92C" w14:textId="77777777" w:rsidR="00046737" w:rsidRPr="00D21DD3" w:rsidRDefault="00046737" w:rsidP="00074298">
      <w:pPr>
        <w:numPr>
          <w:ilvl w:val="0"/>
          <w:numId w:val="17"/>
        </w:numPr>
        <w:contextualSpacing/>
        <w:rPr>
          <w:sz w:val="16"/>
          <w:szCs w:val="16"/>
        </w:rPr>
      </w:pPr>
      <w:r w:rsidRPr="00D21DD3">
        <w:rPr>
          <w:sz w:val="16"/>
          <w:szCs w:val="16"/>
        </w:rPr>
        <w:t>other conduct that relates to the making of a decision; and</w:t>
      </w:r>
    </w:p>
    <w:p w14:paraId="2921B43F" w14:textId="77777777" w:rsidR="00046737" w:rsidRPr="00D21DD3" w:rsidRDefault="00046737" w:rsidP="00074298">
      <w:pPr>
        <w:numPr>
          <w:ilvl w:val="0"/>
          <w:numId w:val="17"/>
        </w:numPr>
        <w:contextualSpacing/>
        <w:rPr>
          <w:sz w:val="16"/>
          <w:szCs w:val="16"/>
        </w:rPr>
      </w:pPr>
      <w:r w:rsidRPr="00D21DD3">
        <w:rPr>
          <w:sz w:val="16"/>
          <w:szCs w:val="16"/>
        </w:rPr>
        <w:t>the making of a decision or failure to make a decision; and</w:t>
      </w:r>
    </w:p>
    <w:p w14:paraId="0D0C9A03" w14:textId="77777777" w:rsidR="00046737" w:rsidRPr="00D21DD3" w:rsidRDefault="00046737" w:rsidP="00074298">
      <w:pPr>
        <w:numPr>
          <w:ilvl w:val="0"/>
          <w:numId w:val="17"/>
        </w:numPr>
        <w:contextualSpacing/>
        <w:rPr>
          <w:sz w:val="16"/>
          <w:szCs w:val="16"/>
        </w:rPr>
      </w:pPr>
      <w:r w:rsidRPr="00D21DD3">
        <w:rPr>
          <w:sz w:val="16"/>
          <w:szCs w:val="16"/>
        </w:rPr>
        <w:t>a purported decision ; and</w:t>
      </w:r>
    </w:p>
    <w:p w14:paraId="377D1B00" w14:textId="77777777" w:rsidR="00046737" w:rsidRPr="00D21DD3" w:rsidRDefault="00046737" w:rsidP="00074298">
      <w:pPr>
        <w:numPr>
          <w:ilvl w:val="0"/>
          <w:numId w:val="17"/>
        </w:numPr>
        <w:contextualSpacing/>
        <w:rPr>
          <w:sz w:val="16"/>
          <w:szCs w:val="16"/>
        </w:rPr>
      </w:pPr>
      <w:r w:rsidRPr="00D21DD3">
        <w:rPr>
          <w:sz w:val="16"/>
          <w:szCs w:val="16"/>
        </w:rPr>
        <w:t>a deemed refusal.</w:t>
      </w:r>
    </w:p>
    <w:p w14:paraId="5581B025" w14:textId="77777777" w:rsidR="00046737" w:rsidRPr="00D21DD3" w:rsidRDefault="00046737" w:rsidP="00046737">
      <w:pPr>
        <w:ind w:left="644"/>
        <w:rPr>
          <w:sz w:val="16"/>
          <w:szCs w:val="16"/>
        </w:rPr>
      </w:pPr>
      <w:r w:rsidRPr="00D21DD3">
        <w:rPr>
          <w:i/>
          <w:sz w:val="16"/>
          <w:szCs w:val="16"/>
        </w:rPr>
        <w:t>non-appealable,</w:t>
      </w:r>
      <w:r w:rsidRPr="00D21DD3">
        <w:rPr>
          <w:sz w:val="16"/>
          <w:szCs w:val="16"/>
        </w:rPr>
        <w:t xml:space="preserve"> for a decision or matter, means the decision or matter-</w:t>
      </w:r>
    </w:p>
    <w:p w14:paraId="6B4F5534" w14:textId="77777777" w:rsidR="00046737" w:rsidRPr="00D21DD3" w:rsidRDefault="00046737" w:rsidP="00074298">
      <w:pPr>
        <w:numPr>
          <w:ilvl w:val="0"/>
          <w:numId w:val="18"/>
        </w:numPr>
        <w:contextualSpacing/>
        <w:rPr>
          <w:sz w:val="16"/>
          <w:szCs w:val="16"/>
        </w:rPr>
      </w:pPr>
      <w:r w:rsidRPr="00D21DD3">
        <w:rPr>
          <w:sz w:val="16"/>
          <w:szCs w:val="16"/>
        </w:rPr>
        <w:t>is final and conclusive; and</w:t>
      </w:r>
    </w:p>
    <w:p w14:paraId="5D849CF5" w14:textId="77777777" w:rsidR="00046737" w:rsidRPr="00D21DD3" w:rsidRDefault="00046737" w:rsidP="00074298">
      <w:pPr>
        <w:numPr>
          <w:ilvl w:val="0"/>
          <w:numId w:val="18"/>
        </w:numPr>
        <w:contextualSpacing/>
        <w:rPr>
          <w:sz w:val="16"/>
          <w:szCs w:val="16"/>
        </w:rPr>
      </w:pPr>
      <w:r w:rsidRPr="00D21DD3">
        <w:rPr>
          <w:sz w:val="16"/>
          <w:szCs w:val="16"/>
        </w:rPr>
        <w:t>may not be challenged, appealed against, reviewed, quashed, set aside or called into question in any other way under the Judicial Review Act 1991 or otherwise, whether by the Supreme Court, another court, a tribunal or another entity; and</w:t>
      </w:r>
    </w:p>
    <w:p w14:paraId="43864097" w14:textId="77777777" w:rsidR="00046737" w:rsidRPr="00D21DD3" w:rsidRDefault="00046737" w:rsidP="00074298">
      <w:pPr>
        <w:numPr>
          <w:ilvl w:val="0"/>
          <w:numId w:val="18"/>
        </w:numPr>
        <w:contextualSpacing/>
        <w:rPr>
          <w:sz w:val="16"/>
          <w:szCs w:val="16"/>
        </w:rPr>
      </w:pPr>
      <w:r w:rsidRPr="00D21DD3">
        <w:rPr>
          <w:sz w:val="16"/>
          <w:szCs w:val="16"/>
        </w:rPr>
        <w:t xml:space="preserve">is not subject to any declaratory, injunctive or other order of the Supreme Court, another court, a tribunal or another entity on any ground. </w:t>
      </w:r>
    </w:p>
    <w:p w14:paraId="1068B5AD" w14:textId="77777777" w:rsidR="00046737" w:rsidRPr="00D21DD3" w:rsidRDefault="00046737" w:rsidP="00046737">
      <w:pPr>
        <w:ind w:left="644"/>
        <w:rPr>
          <w:sz w:val="16"/>
          <w:szCs w:val="16"/>
        </w:rPr>
      </w:pPr>
    </w:p>
    <w:p w14:paraId="1C0E7901" w14:textId="77777777" w:rsidR="00046737" w:rsidRPr="00D21DD3" w:rsidRDefault="00046737" w:rsidP="00046737">
      <w:pPr>
        <w:rPr>
          <w:sz w:val="16"/>
          <w:szCs w:val="16"/>
        </w:rPr>
      </w:pPr>
      <w:r w:rsidRPr="00F20999">
        <w:rPr>
          <w:b/>
          <w:sz w:val="16"/>
          <w:szCs w:val="16"/>
        </w:rPr>
        <w:t>232</w:t>
      </w:r>
      <w:r w:rsidRPr="00D21DD3">
        <w:rPr>
          <w:sz w:val="16"/>
          <w:szCs w:val="16"/>
        </w:rPr>
        <w:t xml:space="preserve"> </w:t>
      </w:r>
      <w:r w:rsidRPr="00C52F61">
        <w:rPr>
          <w:b/>
          <w:sz w:val="16"/>
          <w:szCs w:val="16"/>
        </w:rPr>
        <w:t>Rules of the P&amp;E Court</w:t>
      </w:r>
    </w:p>
    <w:p w14:paraId="7244D5F4" w14:textId="77777777" w:rsidR="00046737" w:rsidRPr="00D21DD3" w:rsidRDefault="00046737" w:rsidP="00046737">
      <w:pPr>
        <w:rPr>
          <w:sz w:val="16"/>
          <w:szCs w:val="16"/>
        </w:rPr>
      </w:pPr>
    </w:p>
    <w:p w14:paraId="55D0F37E" w14:textId="77777777" w:rsidR="00046737" w:rsidRPr="00D21DD3" w:rsidRDefault="00046737" w:rsidP="00074298">
      <w:pPr>
        <w:numPr>
          <w:ilvl w:val="0"/>
          <w:numId w:val="10"/>
        </w:numPr>
        <w:contextualSpacing/>
        <w:rPr>
          <w:sz w:val="16"/>
          <w:szCs w:val="16"/>
        </w:rPr>
      </w:pPr>
      <w:r w:rsidRPr="00D21DD3">
        <w:rPr>
          <w:sz w:val="16"/>
          <w:szCs w:val="16"/>
        </w:rPr>
        <w:t>A person who is appealing to the P&amp;E Court must comply with the rules of the court that apply to the appeal.</w:t>
      </w:r>
    </w:p>
    <w:p w14:paraId="4C19FA5F" w14:textId="77777777" w:rsidR="00046737" w:rsidRPr="00D21DD3" w:rsidRDefault="00046737" w:rsidP="00074298">
      <w:pPr>
        <w:numPr>
          <w:ilvl w:val="0"/>
          <w:numId w:val="10"/>
        </w:numPr>
        <w:contextualSpacing/>
        <w:rPr>
          <w:sz w:val="16"/>
          <w:szCs w:val="16"/>
        </w:rPr>
      </w:pPr>
      <w:r w:rsidRPr="00D21DD3">
        <w:rPr>
          <w:sz w:val="16"/>
          <w:szCs w:val="16"/>
        </w:rPr>
        <w:t>However, the P&amp;E Court may hear and decide an appeal even if the person has not complied with the rules of the P&amp;E Court.</w:t>
      </w:r>
    </w:p>
    <w:p w14:paraId="1BA6E0EF" w14:textId="77777777" w:rsidR="00046737" w:rsidRPr="00D21DD3" w:rsidRDefault="00046737" w:rsidP="00046737">
      <w:pPr>
        <w:rPr>
          <w:b/>
          <w:sz w:val="16"/>
          <w:szCs w:val="16"/>
        </w:rPr>
      </w:pPr>
    </w:p>
    <w:p w14:paraId="6C10032B" w14:textId="77777777" w:rsidR="00046737" w:rsidRDefault="00046737" w:rsidP="00046737">
      <w:pPr>
        <w:rPr>
          <w:rFonts w:ascii="Times-Roman" w:hAnsi="Times-Roman" w:cs="Times-Roman"/>
          <w:sz w:val="16"/>
          <w:szCs w:val="16"/>
        </w:rPr>
      </w:pPr>
    </w:p>
    <w:p w14:paraId="3D567A5D" w14:textId="77777777" w:rsidR="005D7E16" w:rsidRDefault="005D7E16" w:rsidP="00046737">
      <w:pPr>
        <w:tabs>
          <w:tab w:val="left" w:pos="5760"/>
        </w:tabs>
        <w:ind w:left="3720"/>
        <w:jc w:val="left"/>
        <w:rPr>
          <w:rFonts w:ascii="Times-Roman" w:hAnsi="Times-Roman" w:cs="Times-Roman"/>
          <w:sz w:val="16"/>
          <w:szCs w:val="16"/>
        </w:rPr>
      </w:pPr>
    </w:p>
    <w:sectPr w:rsidR="005D7E16" w:rsidSect="00F959D7">
      <w:headerReference w:type="even" r:id="rId12"/>
      <w:headerReference w:type="default" r:id="rId13"/>
      <w:footerReference w:type="even" r:id="rId14"/>
      <w:footerReference w:type="default" r:id="rId15"/>
      <w:headerReference w:type="first" r:id="rId16"/>
      <w:footerReference w:type="first" r:id="rId17"/>
      <w:pgSz w:w="11906" w:h="16838" w:code="9"/>
      <w:pgMar w:top="1701" w:right="1412" w:bottom="1701" w:left="1843" w:header="680" w:footer="346"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0A212" w14:textId="77777777" w:rsidR="008E5DFC" w:rsidRDefault="008E5DFC">
      <w:r>
        <w:separator/>
      </w:r>
    </w:p>
  </w:endnote>
  <w:endnote w:type="continuationSeparator" w:id="0">
    <w:p w14:paraId="58BA5014" w14:textId="77777777" w:rsidR="008E5DFC" w:rsidRDefault="008E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41033" w14:textId="77777777" w:rsidR="000A7607" w:rsidRDefault="000A7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270"/>
    </w:tblGrid>
    <w:tr w:rsidR="000A7607" w:rsidRPr="0099526B" w14:paraId="08654F5F" w14:textId="77777777" w:rsidTr="000A7607">
      <w:tc>
        <w:tcPr>
          <w:tcW w:w="7371" w:type="dxa"/>
        </w:tcPr>
        <w:p w14:paraId="754AC2FC" w14:textId="77777777" w:rsidR="000A7607" w:rsidRPr="0099526B" w:rsidRDefault="000A7607" w:rsidP="00C174A2">
          <w:pPr>
            <w:pStyle w:val="Footer"/>
            <w:tabs>
              <w:tab w:val="clear" w:pos="4153"/>
              <w:tab w:val="clear" w:pos="8306"/>
              <w:tab w:val="right" w:pos="9000"/>
            </w:tabs>
            <w:rPr>
              <w:sz w:val="16"/>
              <w:szCs w:val="16"/>
            </w:rPr>
          </w:pPr>
          <w:r w:rsidRPr="005B0DB6">
            <w:rPr>
              <w:sz w:val="14"/>
              <w:szCs w:val="14"/>
            </w:rPr>
            <w:t>FM1</w:t>
          </w:r>
          <w:r>
            <w:rPr>
              <w:sz w:val="14"/>
              <w:szCs w:val="14"/>
            </w:rPr>
            <w:t>420Q</w:t>
          </w:r>
          <w:r w:rsidRPr="005B0DB6">
            <w:rPr>
              <w:sz w:val="14"/>
              <w:szCs w:val="14"/>
            </w:rPr>
            <w:t>/</w:t>
          </w:r>
          <w:r>
            <w:rPr>
              <w:sz w:val="14"/>
              <w:szCs w:val="14"/>
            </w:rPr>
            <w:t>5-22/06/2021</w:t>
          </w:r>
        </w:p>
      </w:tc>
      <w:tc>
        <w:tcPr>
          <w:tcW w:w="1270" w:type="dxa"/>
        </w:tcPr>
        <w:p w14:paraId="5027228D" w14:textId="77777777" w:rsidR="000A7607" w:rsidRPr="0099526B" w:rsidRDefault="000A7607" w:rsidP="001D061F">
          <w:pPr>
            <w:pStyle w:val="Footer"/>
            <w:tabs>
              <w:tab w:val="clear" w:pos="4153"/>
              <w:tab w:val="clear" w:pos="8306"/>
              <w:tab w:val="right" w:pos="9000"/>
            </w:tabs>
            <w:rPr>
              <w:sz w:val="16"/>
              <w:szCs w:val="16"/>
            </w:rPr>
          </w:pPr>
          <w:r w:rsidRPr="0099526B">
            <w:rPr>
              <w:snapToGrid w:val="0"/>
              <w:sz w:val="16"/>
              <w:szCs w:val="16"/>
            </w:rPr>
            <w:t xml:space="preserve">Page </w:t>
          </w:r>
          <w:r w:rsidRPr="0099526B">
            <w:rPr>
              <w:snapToGrid w:val="0"/>
              <w:sz w:val="16"/>
              <w:szCs w:val="16"/>
            </w:rPr>
            <w:fldChar w:fldCharType="begin"/>
          </w:r>
          <w:r w:rsidRPr="0099526B">
            <w:rPr>
              <w:snapToGrid w:val="0"/>
              <w:sz w:val="16"/>
              <w:szCs w:val="16"/>
            </w:rPr>
            <w:instrText xml:space="preserve"> PAGE </w:instrText>
          </w:r>
          <w:r w:rsidRPr="0099526B">
            <w:rPr>
              <w:snapToGrid w:val="0"/>
              <w:sz w:val="16"/>
              <w:szCs w:val="16"/>
            </w:rPr>
            <w:fldChar w:fldCharType="separate"/>
          </w:r>
          <w:r>
            <w:rPr>
              <w:noProof/>
              <w:snapToGrid w:val="0"/>
              <w:sz w:val="16"/>
              <w:szCs w:val="16"/>
            </w:rPr>
            <w:t>5</w:t>
          </w:r>
          <w:r w:rsidRPr="0099526B">
            <w:rPr>
              <w:snapToGrid w:val="0"/>
              <w:sz w:val="16"/>
              <w:szCs w:val="16"/>
            </w:rPr>
            <w:fldChar w:fldCharType="end"/>
          </w:r>
          <w:r w:rsidRPr="0099526B">
            <w:rPr>
              <w:snapToGrid w:val="0"/>
              <w:sz w:val="16"/>
              <w:szCs w:val="16"/>
            </w:rPr>
            <w:t xml:space="preserve"> of </w:t>
          </w:r>
          <w:r w:rsidRPr="0099526B">
            <w:rPr>
              <w:snapToGrid w:val="0"/>
              <w:sz w:val="16"/>
              <w:szCs w:val="16"/>
            </w:rPr>
            <w:fldChar w:fldCharType="begin"/>
          </w:r>
          <w:r w:rsidRPr="0099526B">
            <w:rPr>
              <w:snapToGrid w:val="0"/>
              <w:sz w:val="16"/>
              <w:szCs w:val="16"/>
            </w:rPr>
            <w:instrText xml:space="preserve"> NUMPAGES </w:instrText>
          </w:r>
          <w:r w:rsidRPr="0099526B">
            <w:rPr>
              <w:snapToGrid w:val="0"/>
              <w:sz w:val="16"/>
              <w:szCs w:val="16"/>
            </w:rPr>
            <w:fldChar w:fldCharType="separate"/>
          </w:r>
          <w:r>
            <w:rPr>
              <w:noProof/>
              <w:snapToGrid w:val="0"/>
              <w:sz w:val="16"/>
              <w:szCs w:val="16"/>
            </w:rPr>
            <w:t>5</w:t>
          </w:r>
          <w:r w:rsidRPr="0099526B">
            <w:rPr>
              <w:snapToGrid w:val="0"/>
              <w:sz w:val="16"/>
              <w:szCs w:val="16"/>
            </w:rPr>
            <w:fldChar w:fldCharType="end"/>
          </w:r>
        </w:p>
      </w:tc>
    </w:tr>
  </w:tbl>
  <w:p w14:paraId="31A2A250" w14:textId="77777777" w:rsidR="000A7607" w:rsidRDefault="000A76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324D" w14:textId="77777777" w:rsidR="000A7607" w:rsidRDefault="000A7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A52EC" w14:textId="77777777" w:rsidR="008E5DFC" w:rsidRDefault="008E5DFC">
      <w:r>
        <w:separator/>
      </w:r>
    </w:p>
  </w:footnote>
  <w:footnote w:type="continuationSeparator" w:id="0">
    <w:p w14:paraId="79C75D80" w14:textId="77777777" w:rsidR="008E5DFC" w:rsidRDefault="008E5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08A35" w14:textId="77777777" w:rsidR="000A7607" w:rsidRDefault="000A7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CB73B" w14:textId="77777777" w:rsidR="000A7607" w:rsidRDefault="000A76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20F78" w14:textId="5F58BCD8" w:rsidR="000A7607" w:rsidRDefault="000A7607">
    <w:pPr>
      <w:pStyle w:val="Header"/>
    </w:pPr>
    <w:r>
      <w:rPr>
        <w:noProof/>
      </w:rPr>
      <w:drawing>
        <wp:anchor distT="0" distB="0" distL="114300" distR="114300" simplePos="0" relativeHeight="251658240" behindDoc="0" locked="0" layoutInCell="1" allowOverlap="1" wp14:anchorId="6A519CE2" wp14:editId="379892EE">
          <wp:simplePos x="0" y="0"/>
          <wp:positionH relativeFrom="page">
            <wp:posOffset>0</wp:posOffset>
          </wp:positionH>
          <wp:positionV relativeFrom="page">
            <wp:posOffset>0</wp:posOffset>
          </wp:positionV>
          <wp:extent cx="7494905" cy="105924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r:link="rId2">
                    <a:extLst>
                      <a:ext uri="{28A0092B-C50C-407E-A947-70E740481C1C}">
                        <a14:useLocalDpi xmlns:a14="http://schemas.microsoft.com/office/drawing/2010/main" val="0"/>
                      </a:ext>
                    </a:extLst>
                  </a:blip>
                  <a:srcRect/>
                  <a:stretch>
                    <a:fillRect/>
                  </a:stretch>
                </pic:blipFill>
                <pic:spPr>
                  <a:xfrm>
                    <a:off x="0" y="0"/>
                    <a:ext cx="7494905" cy="10592435"/>
                  </a:xfrm>
                  <a:prstGeom prst="rect">
                    <a:avLst/>
                  </a:prstGeom>
                  <a:solidFill>
                    <a:scrgbClr r="0" g="0" b="0"/>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pPr>
        <w:ind w:left="0" w:firstLine="0"/>
      </w:pPr>
    </w:lvl>
    <w:lvl w:ilvl="1">
      <w:start w:val="1"/>
      <w:numFmt w:val="decimal"/>
      <w:pStyle w:val="Heading2"/>
      <w:lvlText w:val="%1.%2"/>
      <w:legacy w:legacy="1" w:legacySpace="144" w:legacyIndent="0"/>
      <w:lvlJc w:val="left"/>
      <w:pPr>
        <w:ind w:left="0" w:firstLine="0"/>
      </w:pPr>
    </w:lvl>
    <w:lvl w:ilvl="2">
      <w:start w:val="1"/>
      <w:numFmt w:val="decimal"/>
      <w:pStyle w:val="Heading3"/>
      <w:lvlText w:val="%1.%2.%3"/>
      <w:legacy w:legacy="1" w:legacySpace="144" w:legacyIndent="0"/>
      <w:lvlJc w:val="left"/>
      <w:pPr>
        <w:ind w:left="0" w:firstLine="0"/>
      </w:pPr>
    </w:lvl>
    <w:lvl w:ilvl="3">
      <w:start w:val="1"/>
      <w:numFmt w:val="decimal"/>
      <w:pStyle w:val="Heading4"/>
      <w:lvlText w:val="%1.%2.%3.%4"/>
      <w:legacy w:legacy="1" w:legacySpace="144" w:legacyIndent="0"/>
      <w:lvlJc w:val="left"/>
      <w:pPr>
        <w:ind w:left="0" w:firstLine="0"/>
      </w:pPr>
    </w:lvl>
    <w:lvl w:ilvl="4">
      <w:start w:val="1"/>
      <w:numFmt w:val="decimal"/>
      <w:pStyle w:val="Heading5"/>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pStyle w:val="Heading7"/>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 w15:restartNumberingAfterBreak="0">
    <w:nsid w:val="010C5463"/>
    <w:multiLevelType w:val="hybridMultilevel"/>
    <w:tmpl w:val="610EB1BC"/>
    <w:lvl w:ilvl="0" w:tplc="796EFCDC">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05A23720"/>
    <w:multiLevelType w:val="hybridMultilevel"/>
    <w:tmpl w:val="17EAC188"/>
    <w:lvl w:ilvl="0" w:tplc="0AA4A77C">
      <w:start w:val="1"/>
      <w:numFmt w:val="decimal"/>
      <w:lvlText w:val="%1."/>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96EFCDC">
      <w:start w:val="1"/>
      <w:numFmt w:val="lowerLetter"/>
      <w:lvlText w:val="(%2)"/>
      <w:lvlJc w:val="left"/>
      <w:pPr>
        <w:tabs>
          <w:tab w:val="num" w:pos="1440"/>
        </w:tabs>
        <w:ind w:left="1134" w:hanging="567"/>
      </w:pPr>
      <w:rPr>
        <w:rFonts w:hint="default"/>
        <w:b w:val="0"/>
        <w:i w:val="0"/>
        <w:color w:val="auto"/>
        <w:sz w:val="22"/>
      </w:rPr>
    </w:lvl>
    <w:lvl w:ilvl="2" w:tplc="A3D00932">
      <w:start w:val="1"/>
      <w:numFmt w:val="lowerRoman"/>
      <w:lvlText w:val="(%3)"/>
      <w:lvlJc w:val="left"/>
      <w:pPr>
        <w:tabs>
          <w:tab w:val="num" w:pos="2160"/>
        </w:tabs>
        <w:ind w:left="1701" w:hanging="567"/>
      </w:pPr>
      <w:rPr>
        <w:b w:val="0"/>
        <w:i w:val="0"/>
        <w:sz w:val="22"/>
      </w:rPr>
    </w:lvl>
    <w:lvl w:ilvl="3" w:tplc="21A41A88">
      <w:start w:val="1"/>
      <w:numFmt w:val="decimal"/>
      <w:lvlText w:val="(%4)"/>
      <w:lvlJc w:val="left"/>
      <w:pPr>
        <w:tabs>
          <w:tab w:val="num" w:pos="1440"/>
        </w:tabs>
        <w:ind w:left="1440" w:hanging="360"/>
      </w:pPr>
    </w:lvl>
    <w:lvl w:ilvl="4" w:tplc="32600CAE">
      <w:start w:val="1"/>
      <w:numFmt w:val="lowerLetter"/>
      <w:lvlText w:val="(%5)"/>
      <w:lvlJc w:val="left"/>
      <w:pPr>
        <w:tabs>
          <w:tab w:val="num" w:pos="1800"/>
        </w:tabs>
        <w:ind w:left="1800" w:hanging="360"/>
      </w:pPr>
    </w:lvl>
    <w:lvl w:ilvl="5" w:tplc="E0A2458E">
      <w:start w:val="1"/>
      <w:numFmt w:val="lowerRoman"/>
      <w:lvlText w:val="(%6)"/>
      <w:lvlJc w:val="left"/>
      <w:pPr>
        <w:tabs>
          <w:tab w:val="num" w:pos="2160"/>
        </w:tabs>
        <w:ind w:left="2160" w:hanging="360"/>
      </w:pPr>
    </w:lvl>
    <w:lvl w:ilvl="6" w:tplc="DD7EC97E">
      <w:start w:val="1"/>
      <w:numFmt w:val="decimal"/>
      <w:lvlText w:val="%7."/>
      <w:lvlJc w:val="left"/>
      <w:pPr>
        <w:tabs>
          <w:tab w:val="num" w:pos="2520"/>
        </w:tabs>
        <w:ind w:left="2520" w:hanging="360"/>
      </w:pPr>
    </w:lvl>
    <w:lvl w:ilvl="7" w:tplc="74B0DD4E">
      <w:start w:val="1"/>
      <w:numFmt w:val="lowerLetter"/>
      <w:lvlText w:val="%8."/>
      <w:lvlJc w:val="left"/>
      <w:pPr>
        <w:tabs>
          <w:tab w:val="num" w:pos="2880"/>
        </w:tabs>
        <w:ind w:left="2880" w:hanging="360"/>
      </w:pPr>
    </w:lvl>
    <w:lvl w:ilvl="8" w:tplc="864A2C2C">
      <w:start w:val="1"/>
      <w:numFmt w:val="lowerRoman"/>
      <w:lvlText w:val="(%9)"/>
      <w:lvlJc w:val="left"/>
      <w:pPr>
        <w:tabs>
          <w:tab w:val="num" w:pos="3240"/>
        </w:tabs>
        <w:ind w:left="3240" w:hanging="360"/>
      </w:pPr>
    </w:lvl>
  </w:abstractNum>
  <w:abstractNum w:abstractNumId="3" w15:restartNumberingAfterBreak="0">
    <w:nsid w:val="07C37D8C"/>
    <w:multiLevelType w:val="hybridMultilevel"/>
    <w:tmpl w:val="4AAAD6BE"/>
    <w:lvl w:ilvl="0" w:tplc="0AA4A77C">
      <w:start w:val="1"/>
      <w:numFmt w:val="decimal"/>
      <w:lvlText w:val="%1."/>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96EFCDC">
      <w:start w:val="1"/>
      <w:numFmt w:val="lowerLetter"/>
      <w:lvlText w:val="(%2)"/>
      <w:lvlJc w:val="left"/>
      <w:pPr>
        <w:tabs>
          <w:tab w:val="num" w:pos="1440"/>
        </w:tabs>
        <w:ind w:left="1134" w:hanging="567"/>
      </w:pPr>
      <w:rPr>
        <w:rFonts w:hint="default"/>
        <w:b w:val="0"/>
        <w:i w:val="0"/>
        <w:color w:val="auto"/>
        <w:sz w:val="22"/>
      </w:rPr>
    </w:lvl>
    <w:lvl w:ilvl="2" w:tplc="A3D00932">
      <w:start w:val="1"/>
      <w:numFmt w:val="lowerRoman"/>
      <w:lvlText w:val="(%3)"/>
      <w:lvlJc w:val="left"/>
      <w:pPr>
        <w:tabs>
          <w:tab w:val="num" w:pos="2160"/>
        </w:tabs>
        <w:ind w:left="1701" w:hanging="567"/>
      </w:pPr>
      <w:rPr>
        <w:b w:val="0"/>
        <w:i w:val="0"/>
        <w:sz w:val="22"/>
      </w:rPr>
    </w:lvl>
    <w:lvl w:ilvl="3" w:tplc="21A41A88">
      <w:start w:val="1"/>
      <w:numFmt w:val="decimal"/>
      <w:lvlText w:val="(%4)"/>
      <w:lvlJc w:val="left"/>
      <w:pPr>
        <w:tabs>
          <w:tab w:val="num" w:pos="1440"/>
        </w:tabs>
        <w:ind w:left="1440" w:hanging="360"/>
      </w:pPr>
    </w:lvl>
    <w:lvl w:ilvl="4" w:tplc="32600CAE">
      <w:start w:val="1"/>
      <w:numFmt w:val="lowerLetter"/>
      <w:lvlText w:val="(%5)"/>
      <w:lvlJc w:val="left"/>
      <w:pPr>
        <w:tabs>
          <w:tab w:val="num" w:pos="1800"/>
        </w:tabs>
        <w:ind w:left="1800" w:hanging="360"/>
      </w:pPr>
    </w:lvl>
    <w:lvl w:ilvl="5" w:tplc="E0A2458E">
      <w:start w:val="1"/>
      <w:numFmt w:val="lowerRoman"/>
      <w:lvlText w:val="(%6)"/>
      <w:lvlJc w:val="left"/>
      <w:pPr>
        <w:tabs>
          <w:tab w:val="num" w:pos="2160"/>
        </w:tabs>
        <w:ind w:left="2160" w:hanging="360"/>
      </w:pPr>
    </w:lvl>
    <w:lvl w:ilvl="6" w:tplc="DD7EC97E">
      <w:start w:val="1"/>
      <w:numFmt w:val="decimal"/>
      <w:lvlText w:val="%7."/>
      <w:lvlJc w:val="left"/>
      <w:pPr>
        <w:tabs>
          <w:tab w:val="num" w:pos="2520"/>
        </w:tabs>
        <w:ind w:left="2520" w:hanging="360"/>
      </w:pPr>
    </w:lvl>
    <w:lvl w:ilvl="7" w:tplc="74B0DD4E">
      <w:start w:val="1"/>
      <w:numFmt w:val="lowerLetter"/>
      <w:lvlText w:val="%8."/>
      <w:lvlJc w:val="left"/>
      <w:pPr>
        <w:tabs>
          <w:tab w:val="num" w:pos="2880"/>
        </w:tabs>
        <w:ind w:left="2880" w:hanging="360"/>
      </w:pPr>
    </w:lvl>
    <w:lvl w:ilvl="8" w:tplc="864A2C2C">
      <w:start w:val="1"/>
      <w:numFmt w:val="lowerRoman"/>
      <w:lvlText w:val="(%9)"/>
      <w:lvlJc w:val="left"/>
      <w:pPr>
        <w:tabs>
          <w:tab w:val="num" w:pos="3240"/>
        </w:tabs>
        <w:ind w:left="3240" w:hanging="360"/>
      </w:pPr>
    </w:lvl>
  </w:abstractNum>
  <w:abstractNum w:abstractNumId="4" w15:restartNumberingAfterBreak="0">
    <w:nsid w:val="09000736"/>
    <w:multiLevelType w:val="multilevel"/>
    <w:tmpl w:val="205851A4"/>
    <w:lvl w:ilvl="0">
      <w:start w:val="1"/>
      <w:numFmt w:val="decimal"/>
      <w:pStyle w:val="NumberLevel1"/>
      <w:lvlText w:val="%1."/>
      <w:lvlJc w:val="left"/>
      <w:pPr>
        <w:ind w:left="567" w:hanging="567"/>
      </w:pPr>
      <w:rPr>
        <w:rFonts w:hint="default"/>
      </w:rPr>
    </w:lvl>
    <w:lvl w:ilvl="1">
      <w:start w:val="1"/>
      <w:numFmt w:val="lowerLetter"/>
      <w:pStyle w:val="NumberLevel2"/>
      <w:lvlText w:val="(%2)"/>
      <w:lvlJc w:val="left"/>
      <w:pPr>
        <w:ind w:left="1134" w:hanging="567"/>
      </w:pPr>
      <w:rPr>
        <w:rFonts w:hint="default"/>
      </w:rPr>
    </w:lvl>
    <w:lvl w:ilvl="2">
      <w:start w:val="1"/>
      <w:numFmt w:val="lowerRoman"/>
      <w:pStyle w:val="NumberLevel3"/>
      <w:lvlText w:val="(%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A9B7BCC"/>
    <w:multiLevelType w:val="hybridMultilevel"/>
    <w:tmpl w:val="6F52329A"/>
    <w:lvl w:ilvl="0" w:tplc="E41EFF2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DFD582F"/>
    <w:multiLevelType w:val="hybridMultilevel"/>
    <w:tmpl w:val="8CC87994"/>
    <w:lvl w:ilvl="0" w:tplc="0C090001">
      <w:start w:val="1"/>
      <w:numFmt w:val="bullet"/>
      <w:lvlText w:val=""/>
      <w:lvlJc w:val="left"/>
      <w:pPr>
        <w:tabs>
          <w:tab w:val="num" w:pos="1287"/>
        </w:tabs>
        <w:ind w:left="1134" w:hanging="567"/>
      </w:pPr>
      <w:rPr>
        <w:rFonts w:ascii="Symbol" w:hAnsi="Symbol" w:hint="default"/>
        <w:b w:val="0"/>
        <w:i w:val="0"/>
        <w:color w:val="auto"/>
        <w:sz w:val="22"/>
      </w:rPr>
    </w:lvl>
    <w:lvl w:ilvl="1" w:tplc="0C090001">
      <w:start w:val="1"/>
      <w:numFmt w:val="bullet"/>
      <w:lvlText w:val=""/>
      <w:lvlJc w:val="left"/>
      <w:pPr>
        <w:tabs>
          <w:tab w:val="num" w:pos="2007"/>
        </w:tabs>
        <w:ind w:left="1701" w:hanging="567"/>
      </w:pPr>
      <w:rPr>
        <w:rFonts w:ascii="Symbol" w:hAnsi="Symbol" w:hint="default"/>
        <w:b w:val="0"/>
        <w:i w:val="0"/>
        <w:color w:val="auto"/>
        <w:sz w:val="22"/>
      </w:rPr>
    </w:lvl>
    <w:lvl w:ilvl="2" w:tplc="A3D00932">
      <w:start w:val="1"/>
      <w:numFmt w:val="lowerRoman"/>
      <w:lvlText w:val="(%3)"/>
      <w:lvlJc w:val="left"/>
      <w:pPr>
        <w:tabs>
          <w:tab w:val="num" w:pos="2727"/>
        </w:tabs>
        <w:ind w:left="2268" w:hanging="567"/>
      </w:pPr>
      <w:rPr>
        <w:b w:val="0"/>
        <w:i w:val="0"/>
        <w:sz w:val="22"/>
      </w:rPr>
    </w:lvl>
    <w:lvl w:ilvl="3" w:tplc="21A41A88">
      <w:start w:val="1"/>
      <w:numFmt w:val="decimal"/>
      <w:lvlText w:val="(%4)"/>
      <w:lvlJc w:val="left"/>
      <w:pPr>
        <w:tabs>
          <w:tab w:val="num" w:pos="2007"/>
        </w:tabs>
        <w:ind w:left="2007" w:hanging="360"/>
      </w:pPr>
    </w:lvl>
    <w:lvl w:ilvl="4" w:tplc="32600CAE">
      <w:start w:val="1"/>
      <w:numFmt w:val="lowerLetter"/>
      <w:lvlText w:val="(%5)"/>
      <w:lvlJc w:val="left"/>
      <w:pPr>
        <w:tabs>
          <w:tab w:val="num" w:pos="2367"/>
        </w:tabs>
        <w:ind w:left="2367" w:hanging="360"/>
      </w:pPr>
    </w:lvl>
    <w:lvl w:ilvl="5" w:tplc="E0A2458E">
      <w:start w:val="1"/>
      <w:numFmt w:val="lowerRoman"/>
      <w:lvlText w:val="(%6)"/>
      <w:lvlJc w:val="left"/>
      <w:pPr>
        <w:tabs>
          <w:tab w:val="num" w:pos="2727"/>
        </w:tabs>
        <w:ind w:left="2727" w:hanging="360"/>
      </w:pPr>
    </w:lvl>
    <w:lvl w:ilvl="6" w:tplc="DD7EC97E">
      <w:start w:val="1"/>
      <w:numFmt w:val="decimal"/>
      <w:lvlText w:val="%7."/>
      <w:lvlJc w:val="left"/>
      <w:pPr>
        <w:tabs>
          <w:tab w:val="num" w:pos="3087"/>
        </w:tabs>
        <w:ind w:left="3087" w:hanging="360"/>
      </w:pPr>
    </w:lvl>
    <w:lvl w:ilvl="7" w:tplc="74B0DD4E">
      <w:start w:val="1"/>
      <w:numFmt w:val="lowerLetter"/>
      <w:lvlText w:val="%8."/>
      <w:lvlJc w:val="left"/>
      <w:pPr>
        <w:tabs>
          <w:tab w:val="num" w:pos="3447"/>
        </w:tabs>
        <w:ind w:left="3447" w:hanging="360"/>
      </w:pPr>
    </w:lvl>
    <w:lvl w:ilvl="8" w:tplc="864A2C2C">
      <w:start w:val="1"/>
      <w:numFmt w:val="lowerRoman"/>
      <w:lvlText w:val="(%9)"/>
      <w:lvlJc w:val="left"/>
      <w:pPr>
        <w:tabs>
          <w:tab w:val="num" w:pos="3807"/>
        </w:tabs>
        <w:ind w:left="3807" w:hanging="360"/>
      </w:pPr>
    </w:lvl>
  </w:abstractNum>
  <w:abstractNum w:abstractNumId="7" w15:restartNumberingAfterBreak="0">
    <w:nsid w:val="108029C1"/>
    <w:multiLevelType w:val="hybridMultilevel"/>
    <w:tmpl w:val="7734798C"/>
    <w:lvl w:ilvl="0" w:tplc="A03EF20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3BD7BD5"/>
    <w:multiLevelType w:val="hybridMultilevel"/>
    <w:tmpl w:val="9F1A17D6"/>
    <w:lvl w:ilvl="0" w:tplc="9738C0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4D62B6"/>
    <w:multiLevelType w:val="multilevel"/>
    <w:tmpl w:val="6B74B630"/>
    <w:styleLink w:val="NumberingConditions"/>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AFA1B67"/>
    <w:multiLevelType w:val="hybridMultilevel"/>
    <w:tmpl w:val="837CA612"/>
    <w:lvl w:ilvl="0" w:tplc="85B02C92">
      <w:start w:val="1"/>
      <w:numFmt w:val="decimal"/>
      <w:lvlText w:val="%1."/>
      <w:lvlJc w:val="left"/>
      <w:pPr>
        <w:ind w:left="1287" w:hanging="360"/>
      </w:pPr>
      <w:rPr>
        <w:b w:val="0"/>
        <w:bCs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20726116"/>
    <w:multiLevelType w:val="hybridMultilevel"/>
    <w:tmpl w:val="9C34155C"/>
    <w:lvl w:ilvl="0" w:tplc="0AA4A77C">
      <w:start w:val="1"/>
      <w:numFmt w:val="decimal"/>
      <w:lvlText w:val="%1."/>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96EFCDC">
      <w:start w:val="1"/>
      <w:numFmt w:val="lowerLetter"/>
      <w:lvlText w:val="(%2)"/>
      <w:lvlJc w:val="left"/>
      <w:pPr>
        <w:tabs>
          <w:tab w:val="num" w:pos="1440"/>
        </w:tabs>
        <w:ind w:left="1134" w:hanging="567"/>
      </w:pPr>
      <w:rPr>
        <w:rFonts w:hint="default"/>
        <w:b w:val="0"/>
        <w:i w:val="0"/>
        <w:color w:val="auto"/>
        <w:sz w:val="22"/>
      </w:rPr>
    </w:lvl>
    <w:lvl w:ilvl="2" w:tplc="A3D00932">
      <w:start w:val="1"/>
      <w:numFmt w:val="lowerRoman"/>
      <w:lvlText w:val="(%3)"/>
      <w:lvlJc w:val="left"/>
      <w:pPr>
        <w:tabs>
          <w:tab w:val="num" w:pos="2160"/>
        </w:tabs>
        <w:ind w:left="1701" w:hanging="567"/>
      </w:pPr>
      <w:rPr>
        <w:b w:val="0"/>
        <w:i w:val="0"/>
        <w:sz w:val="22"/>
      </w:rPr>
    </w:lvl>
    <w:lvl w:ilvl="3" w:tplc="21A41A88">
      <w:start w:val="1"/>
      <w:numFmt w:val="decimal"/>
      <w:lvlText w:val="(%4)"/>
      <w:lvlJc w:val="left"/>
      <w:pPr>
        <w:tabs>
          <w:tab w:val="num" w:pos="1440"/>
        </w:tabs>
        <w:ind w:left="1440" w:hanging="360"/>
      </w:pPr>
    </w:lvl>
    <w:lvl w:ilvl="4" w:tplc="32600CAE">
      <w:start w:val="1"/>
      <w:numFmt w:val="lowerLetter"/>
      <w:lvlText w:val="(%5)"/>
      <w:lvlJc w:val="left"/>
      <w:pPr>
        <w:tabs>
          <w:tab w:val="num" w:pos="1800"/>
        </w:tabs>
        <w:ind w:left="1800" w:hanging="360"/>
      </w:pPr>
    </w:lvl>
    <w:lvl w:ilvl="5" w:tplc="E0A2458E">
      <w:start w:val="1"/>
      <w:numFmt w:val="lowerRoman"/>
      <w:lvlText w:val="(%6)"/>
      <w:lvlJc w:val="left"/>
      <w:pPr>
        <w:tabs>
          <w:tab w:val="num" w:pos="2160"/>
        </w:tabs>
        <w:ind w:left="2160" w:hanging="360"/>
      </w:pPr>
    </w:lvl>
    <w:lvl w:ilvl="6" w:tplc="DD7EC97E">
      <w:start w:val="1"/>
      <w:numFmt w:val="decimal"/>
      <w:lvlText w:val="%7."/>
      <w:lvlJc w:val="left"/>
      <w:pPr>
        <w:tabs>
          <w:tab w:val="num" w:pos="2520"/>
        </w:tabs>
        <w:ind w:left="2520" w:hanging="360"/>
      </w:pPr>
    </w:lvl>
    <w:lvl w:ilvl="7" w:tplc="74B0DD4E">
      <w:start w:val="1"/>
      <w:numFmt w:val="lowerLetter"/>
      <w:lvlText w:val="%8."/>
      <w:lvlJc w:val="left"/>
      <w:pPr>
        <w:tabs>
          <w:tab w:val="num" w:pos="2880"/>
        </w:tabs>
        <w:ind w:left="2880" w:hanging="360"/>
      </w:pPr>
    </w:lvl>
    <w:lvl w:ilvl="8" w:tplc="864A2C2C">
      <w:start w:val="1"/>
      <w:numFmt w:val="lowerRoman"/>
      <w:lvlText w:val="(%9)"/>
      <w:lvlJc w:val="left"/>
      <w:pPr>
        <w:tabs>
          <w:tab w:val="num" w:pos="3240"/>
        </w:tabs>
        <w:ind w:left="3240" w:hanging="360"/>
      </w:pPr>
    </w:lvl>
  </w:abstractNum>
  <w:abstractNum w:abstractNumId="12" w15:restartNumberingAfterBreak="0">
    <w:nsid w:val="2AB77968"/>
    <w:multiLevelType w:val="hybridMultilevel"/>
    <w:tmpl w:val="13A61CBC"/>
    <w:lvl w:ilvl="0" w:tplc="ECC02566">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2CBB4AE8"/>
    <w:multiLevelType w:val="hybridMultilevel"/>
    <w:tmpl w:val="7A14E16C"/>
    <w:lvl w:ilvl="0" w:tplc="97423B5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D874DD4"/>
    <w:multiLevelType w:val="hybridMultilevel"/>
    <w:tmpl w:val="0A745E4E"/>
    <w:lvl w:ilvl="0" w:tplc="CF9AFDBE">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2077E44"/>
    <w:multiLevelType w:val="multilevel"/>
    <w:tmpl w:val="9A286344"/>
    <w:lvl w:ilvl="0">
      <w:start w:val="1"/>
      <w:numFmt w:val="decimal"/>
      <w:pStyle w:val="Number"/>
      <w:lvlText w:val="%1."/>
      <w:lvlJc w:val="left"/>
      <w:pPr>
        <w:tabs>
          <w:tab w:val="num" w:pos="720"/>
        </w:tabs>
        <w:ind w:left="567" w:hanging="567"/>
      </w:pPr>
      <w:rPr>
        <w:b w:val="0"/>
        <w:i w:val="0"/>
        <w:color w:val="auto"/>
        <w:sz w:val="22"/>
      </w:rPr>
    </w:lvl>
    <w:lvl w:ilvl="1">
      <w:start w:val="1"/>
      <w:numFmt w:val="lowerLetter"/>
      <w:lvlText w:val="(%2)"/>
      <w:lvlJc w:val="left"/>
      <w:pPr>
        <w:tabs>
          <w:tab w:val="num" w:pos="1440"/>
        </w:tabs>
        <w:ind w:left="1440" w:hanging="720"/>
      </w:pPr>
      <w:rPr>
        <w:rFonts w:ascii="Arial" w:hAnsi="Arial" w:cs="Times New Roman" w:hint="default"/>
        <w:b w:val="0"/>
        <w:i w:val="0"/>
        <w:color w:val="auto"/>
        <w:sz w:val="22"/>
      </w:rPr>
    </w:lvl>
    <w:lvl w:ilvl="2">
      <w:start w:val="1"/>
      <w:numFmt w:val="lowerRoman"/>
      <w:lvlText w:val="(%3)"/>
      <w:lvlJc w:val="left"/>
      <w:pPr>
        <w:tabs>
          <w:tab w:val="num" w:pos="2160"/>
        </w:tabs>
        <w:ind w:left="2160" w:hanging="720"/>
      </w:pPr>
      <w:rPr>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advn"/>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51C2EED"/>
    <w:multiLevelType w:val="hybridMultilevel"/>
    <w:tmpl w:val="AB127406"/>
    <w:lvl w:ilvl="0" w:tplc="8EA4CCCE">
      <w:start w:val="1"/>
      <w:numFmt w:val="decimal"/>
      <w:pStyle w:val="DAHeading"/>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37806AA3"/>
    <w:multiLevelType w:val="hybridMultilevel"/>
    <w:tmpl w:val="7A04518A"/>
    <w:lvl w:ilvl="0" w:tplc="0AA4A77C">
      <w:start w:val="1"/>
      <w:numFmt w:val="decimal"/>
      <w:lvlText w:val="%1."/>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96EFCDC">
      <w:start w:val="1"/>
      <w:numFmt w:val="lowerLetter"/>
      <w:lvlText w:val="(%2)"/>
      <w:lvlJc w:val="left"/>
      <w:pPr>
        <w:tabs>
          <w:tab w:val="num" w:pos="1440"/>
        </w:tabs>
        <w:ind w:left="1134" w:hanging="567"/>
      </w:pPr>
      <w:rPr>
        <w:rFonts w:hint="default"/>
        <w:b w:val="0"/>
        <w:i w:val="0"/>
        <w:color w:val="auto"/>
        <w:sz w:val="22"/>
      </w:rPr>
    </w:lvl>
    <w:lvl w:ilvl="2" w:tplc="A3D00932">
      <w:start w:val="1"/>
      <w:numFmt w:val="lowerRoman"/>
      <w:lvlText w:val="(%3)"/>
      <w:lvlJc w:val="left"/>
      <w:pPr>
        <w:tabs>
          <w:tab w:val="num" w:pos="2160"/>
        </w:tabs>
        <w:ind w:left="1701" w:hanging="567"/>
      </w:pPr>
      <w:rPr>
        <w:b w:val="0"/>
        <w:i w:val="0"/>
        <w:sz w:val="22"/>
      </w:rPr>
    </w:lvl>
    <w:lvl w:ilvl="3" w:tplc="21A41A88">
      <w:start w:val="1"/>
      <w:numFmt w:val="decimal"/>
      <w:lvlText w:val="(%4)"/>
      <w:lvlJc w:val="left"/>
      <w:pPr>
        <w:tabs>
          <w:tab w:val="num" w:pos="1440"/>
        </w:tabs>
        <w:ind w:left="1440" w:hanging="360"/>
      </w:pPr>
    </w:lvl>
    <w:lvl w:ilvl="4" w:tplc="32600CAE">
      <w:start w:val="1"/>
      <w:numFmt w:val="lowerLetter"/>
      <w:lvlText w:val="(%5)"/>
      <w:lvlJc w:val="left"/>
      <w:pPr>
        <w:tabs>
          <w:tab w:val="num" w:pos="1800"/>
        </w:tabs>
        <w:ind w:left="1800" w:hanging="360"/>
      </w:pPr>
    </w:lvl>
    <w:lvl w:ilvl="5" w:tplc="E0A2458E">
      <w:start w:val="1"/>
      <w:numFmt w:val="lowerRoman"/>
      <w:lvlText w:val="(%6)"/>
      <w:lvlJc w:val="left"/>
      <w:pPr>
        <w:tabs>
          <w:tab w:val="num" w:pos="2160"/>
        </w:tabs>
        <w:ind w:left="2160" w:hanging="360"/>
      </w:pPr>
    </w:lvl>
    <w:lvl w:ilvl="6" w:tplc="DD7EC97E">
      <w:start w:val="1"/>
      <w:numFmt w:val="decimal"/>
      <w:lvlText w:val="%7."/>
      <w:lvlJc w:val="left"/>
      <w:pPr>
        <w:tabs>
          <w:tab w:val="num" w:pos="2520"/>
        </w:tabs>
        <w:ind w:left="2520" w:hanging="360"/>
      </w:pPr>
    </w:lvl>
    <w:lvl w:ilvl="7" w:tplc="74B0DD4E">
      <w:start w:val="1"/>
      <w:numFmt w:val="lowerLetter"/>
      <w:lvlText w:val="%8."/>
      <w:lvlJc w:val="left"/>
      <w:pPr>
        <w:tabs>
          <w:tab w:val="num" w:pos="2880"/>
        </w:tabs>
        <w:ind w:left="2880" w:hanging="360"/>
      </w:pPr>
    </w:lvl>
    <w:lvl w:ilvl="8" w:tplc="864A2C2C">
      <w:start w:val="1"/>
      <w:numFmt w:val="lowerRoman"/>
      <w:lvlText w:val="(%9)"/>
      <w:lvlJc w:val="left"/>
      <w:pPr>
        <w:tabs>
          <w:tab w:val="num" w:pos="3240"/>
        </w:tabs>
        <w:ind w:left="3240" w:hanging="360"/>
      </w:pPr>
    </w:lvl>
  </w:abstractNum>
  <w:abstractNum w:abstractNumId="18" w15:restartNumberingAfterBreak="0">
    <w:nsid w:val="3A631604"/>
    <w:multiLevelType w:val="hybridMultilevel"/>
    <w:tmpl w:val="C83EA356"/>
    <w:lvl w:ilvl="0" w:tplc="A55A190A">
      <w:start w:val="1"/>
      <w:numFmt w:val="bullet"/>
      <w:lvlText w:val=""/>
      <w:lvlJc w:val="left"/>
      <w:pPr>
        <w:tabs>
          <w:tab w:val="num" w:pos="567"/>
        </w:tabs>
        <w:ind w:left="567" w:hanging="567"/>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ED37A4"/>
    <w:multiLevelType w:val="hybridMultilevel"/>
    <w:tmpl w:val="B8341A04"/>
    <w:lvl w:ilvl="0" w:tplc="0AA4A77C">
      <w:start w:val="1"/>
      <w:numFmt w:val="decimal"/>
      <w:lvlText w:val="%1."/>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96EFCDC">
      <w:start w:val="1"/>
      <w:numFmt w:val="lowerLetter"/>
      <w:lvlText w:val="(%2)"/>
      <w:lvlJc w:val="left"/>
      <w:pPr>
        <w:tabs>
          <w:tab w:val="num" w:pos="1440"/>
        </w:tabs>
        <w:ind w:left="1134" w:hanging="567"/>
      </w:pPr>
      <w:rPr>
        <w:rFonts w:hint="default"/>
        <w:b w:val="0"/>
        <w:i w:val="0"/>
        <w:color w:val="auto"/>
        <w:sz w:val="22"/>
      </w:rPr>
    </w:lvl>
    <w:lvl w:ilvl="2" w:tplc="A3D00932">
      <w:start w:val="1"/>
      <w:numFmt w:val="lowerRoman"/>
      <w:lvlText w:val="(%3)"/>
      <w:lvlJc w:val="left"/>
      <w:pPr>
        <w:tabs>
          <w:tab w:val="num" w:pos="2160"/>
        </w:tabs>
        <w:ind w:left="1701" w:hanging="567"/>
      </w:pPr>
      <w:rPr>
        <w:b w:val="0"/>
        <w:i w:val="0"/>
        <w:sz w:val="22"/>
      </w:rPr>
    </w:lvl>
    <w:lvl w:ilvl="3" w:tplc="21A41A88">
      <w:start w:val="1"/>
      <w:numFmt w:val="decimal"/>
      <w:lvlText w:val="(%4)"/>
      <w:lvlJc w:val="left"/>
      <w:pPr>
        <w:tabs>
          <w:tab w:val="num" w:pos="1440"/>
        </w:tabs>
        <w:ind w:left="1440" w:hanging="360"/>
      </w:pPr>
    </w:lvl>
    <w:lvl w:ilvl="4" w:tplc="32600CAE">
      <w:start w:val="1"/>
      <w:numFmt w:val="lowerLetter"/>
      <w:lvlText w:val="(%5)"/>
      <w:lvlJc w:val="left"/>
      <w:pPr>
        <w:tabs>
          <w:tab w:val="num" w:pos="1800"/>
        </w:tabs>
        <w:ind w:left="1800" w:hanging="360"/>
      </w:pPr>
    </w:lvl>
    <w:lvl w:ilvl="5" w:tplc="E0A2458E">
      <w:start w:val="1"/>
      <w:numFmt w:val="lowerRoman"/>
      <w:lvlText w:val="(%6)"/>
      <w:lvlJc w:val="left"/>
      <w:pPr>
        <w:tabs>
          <w:tab w:val="num" w:pos="2160"/>
        </w:tabs>
        <w:ind w:left="2160" w:hanging="360"/>
      </w:pPr>
    </w:lvl>
    <w:lvl w:ilvl="6" w:tplc="DD7EC97E">
      <w:start w:val="1"/>
      <w:numFmt w:val="decimal"/>
      <w:lvlText w:val="%7."/>
      <w:lvlJc w:val="left"/>
      <w:pPr>
        <w:tabs>
          <w:tab w:val="num" w:pos="2520"/>
        </w:tabs>
        <w:ind w:left="2520" w:hanging="360"/>
      </w:pPr>
    </w:lvl>
    <w:lvl w:ilvl="7" w:tplc="74B0DD4E">
      <w:start w:val="1"/>
      <w:numFmt w:val="lowerLetter"/>
      <w:lvlText w:val="%8."/>
      <w:lvlJc w:val="left"/>
      <w:pPr>
        <w:tabs>
          <w:tab w:val="num" w:pos="2880"/>
        </w:tabs>
        <w:ind w:left="2880" w:hanging="360"/>
      </w:pPr>
    </w:lvl>
    <w:lvl w:ilvl="8" w:tplc="864A2C2C">
      <w:start w:val="1"/>
      <w:numFmt w:val="lowerRoman"/>
      <w:lvlText w:val="(%9)"/>
      <w:lvlJc w:val="left"/>
      <w:pPr>
        <w:tabs>
          <w:tab w:val="num" w:pos="3240"/>
        </w:tabs>
        <w:ind w:left="3240" w:hanging="360"/>
      </w:pPr>
    </w:lvl>
  </w:abstractNum>
  <w:abstractNum w:abstractNumId="20" w15:restartNumberingAfterBreak="0">
    <w:nsid w:val="49BB4BF6"/>
    <w:multiLevelType w:val="multilevel"/>
    <w:tmpl w:val="FCC0060A"/>
    <w:lvl w:ilvl="0">
      <w:start w:val="1"/>
      <w:numFmt w:val="decimal"/>
      <w:lvlText w:val="%1."/>
      <w:lvlJc w:val="left"/>
      <w:pPr>
        <w:tabs>
          <w:tab w:val="num" w:pos="720"/>
        </w:tabs>
        <w:ind w:left="720" w:hanging="720"/>
      </w:pPr>
      <w:rPr>
        <w:rFonts w:cs="Times New Roman"/>
        <w:b w:val="0"/>
        <w:i w:val="0"/>
        <w:strike w:val="0"/>
        <w:dstrike w:val="0"/>
        <w:color w:val="auto"/>
        <w:sz w:val="22"/>
        <w:u w:val="none"/>
        <w:effect w:val="none"/>
      </w:rPr>
    </w:lvl>
    <w:lvl w:ilvl="1">
      <w:start w:val="1"/>
      <w:numFmt w:val="lowerLetter"/>
      <w:lvlText w:val="(%2)"/>
      <w:lvlJc w:val="left"/>
      <w:pPr>
        <w:tabs>
          <w:tab w:val="num" w:pos="1440"/>
        </w:tabs>
        <w:ind w:left="1440" w:hanging="720"/>
      </w:pPr>
      <w:rPr>
        <w:rFonts w:ascii="Arial" w:hAnsi="Arial" w:cs="Times New Roman" w:hint="default"/>
        <w:b w:val="0"/>
        <w:i w:val="0"/>
        <w:color w:val="auto"/>
        <w:sz w:val="22"/>
      </w:rPr>
    </w:lvl>
    <w:lvl w:ilvl="2">
      <w:start w:val="1"/>
      <w:numFmt w:val="lowerRoman"/>
      <w:lvlText w:val="(%3)"/>
      <w:lvlJc w:val="left"/>
      <w:pPr>
        <w:tabs>
          <w:tab w:val="num" w:pos="2160"/>
        </w:tabs>
        <w:ind w:left="2160" w:hanging="720"/>
      </w:pPr>
      <w:rPr>
        <w:rFonts w:cs="Times New Roman"/>
        <w:b w:val="0"/>
        <w:i w:val="0"/>
        <w:color w:val="auto"/>
        <w:sz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B0308EB"/>
    <w:multiLevelType w:val="hybridMultilevel"/>
    <w:tmpl w:val="870C793C"/>
    <w:lvl w:ilvl="0" w:tplc="CD30476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B0A74C5"/>
    <w:multiLevelType w:val="hybridMultilevel"/>
    <w:tmpl w:val="AE6606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C965BB1"/>
    <w:multiLevelType w:val="hybridMultilevel"/>
    <w:tmpl w:val="A2D43326"/>
    <w:lvl w:ilvl="0" w:tplc="0AA4A77C">
      <w:start w:val="1"/>
      <w:numFmt w:val="decimal"/>
      <w:lvlText w:val="%1."/>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96EFCDC">
      <w:start w:val="1"/>
      <w:numFmt w:val="lowerLetter"/>
      <w:lvlText w:val="(%2)"/>
      <w:lvlJc w:val="left"/>
      <w:pPr>
        <w:tabs>
          <w:tab w:val="num" w:pos="1440"/>
        </w:tabs>
        <w:ind w:left="1134" w:hanging="567"/>
      </w:pPr>
      <w:rPr>
        <w:rFonts w:hint="default"/>
        <w:b w:val="0"/>
        <w:i w:val="0"/>
        <w:color w:val="auto"/>
        <w:sz w:val="22"/>
      </w:rPr>
    </w:lvl>
    <w:lvl w:ilvl="2" w:tplc="A3D00932">
      <w:start w:val="1"/>
      <w:numFmt w:val="lowerRoman"/>
      <w:lvlText w:val="(%3)"/>
      <w:lvlJc w:val="left"/>
      <w:pPr>
        <w:tabs>
          <w:tab w:val="num" w:pos="2160"/>
        </w:tabs>
        <w:ind w:left="1701" w:hanging="567"/>
      </w:pPr>
      <w:rPr>
        <w:b w:val="0"/>
        <w:i w:val="0"/>
        <w:sz w:val="22"/>
      </w:rPr>
    </w:lvl>
    <w:lvl w:ilvl="3" w:tplc="21A41A88">
      <w:start w:val="1"/>
      <w:numFmt w:val="decimal"/>
      <w:lvlText w:val="(%4)"/>
      <w:lvlJc w:val="left"/>
      <w:pPr>
        <w:tabs>
          <w:tab w:val="num" w:pos="1440"/>
        </w:tabs>
        <w:ind w:left="1440" w:hanging="360"/>
      </w:pPr>
    </w:lvl>
    <w:lvl w:ilvl="4" w:tplc="32600CAE">
      <w:start w:val="1"/>
      <w:numFmt w:val="lowerLetter"/>
      <w:lvlText w:val="(%5)"/>
      <w:lvlJc w:val="left"/>
      <w:pPr>
        <w:tabs>
          <w:tab w:val="num" w:pos="1800"/>
        </w:tabs>
        <w:ind w:left="1800" w:hanging="360"/>
      </w:pPr>
    </w:lvl>
    <w:lvl w:ilvl="5" w:tplc="E0A2458E">
      <w:start w:val="1"/>
      <w:numFmt w:val="lowerRoman"/>
      <w:lvlText w:val="(%6)"/>
      <w:lvlJc w:val="left"/>
      <w:pPr>
        <w:tabs>
          <w:tab w:val="num" w:pos="2160"/>
        </w:tabs>
        <w:ind w:left="2160" w:hanging="360"/>
      </w:pPr>
    </w:lvl>
    <w:lvl w:ilvl="6" w:tplc="DD7EC97E">
      <w:start w:val="1"/>
      <w:numFmt w:val="decimal"/>
      <w:lvlText w:val="%7."/>
      <w:lvlJc w:val="left"/>
      <w:pPr>
        <w:tabs>
          <w:tab w:val="num" w:pos="2520"/>
        </w:tabs>
        <w:ind w:left="2520" w:hanging="360"/>
      </w:pPr>
    </w:lvl>
    <w:lvl w:ilvl="7" w:tplc="74B0DD4E">
      <w:start w:val="1"/>
      <w:numFmt w:val="lowerLetter"/>
      <w:lvlText w:val="%8."/>
      <w:lvlJc w:val="left"/>
      <w:pPr>
        <w:tabs>
          <w:tab w:val="num" w:pos="2880"/>
        </w:tabs>
        <w:ind w:left="2880" w:hanging="360"/>
      </w:pPr>
    </w:lvl>
    <w:lvl w:ilvl="8" w:tplc="864A2C2C">
      <w:start w:val="1"/>
      <w:numFmt w:val="lowerRoman"/>
      <w:lvlText w:val="(%9)"/>
      <w:lvlJc w:val="left"/>
      <w:pPr>
        <w:tabs>
          <w:tab w:val="num" w:pos="3240"/>
        </w:tabs>
        <w:ind w:left="3240" w:hanging="360"/>
      </w:pPr>
    </w:lvl>
  </w:abstractNum>
  <w:abstractNum w:abstractNumId="24" w15:restartNumberingAfterBreak="0">
    <w:nsid w:val="4DC40F65"/>
    <w:multiLevelType w:val="hybridMultilevel"/>
    <w:tmpl w:val="A4086064"/>
    <w:lvl w:ilvl="0" w:tplc="0AA4A77C">
      <w:start w:val="1"/>
      <w:numFmt w:val="decimal"/>
      <w:lvlText w:val="%1."/>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96EFCDC">
      <w:start w:val="1"/>
      <w:numFmt w:val="lowerLetter"/>
      <w:lvlText w:val="(%2)"/>
      <w:lvlJc w:val="left"/>
      <w:pPr>
        <w:tabs>
          <w:tab w:val="num" w:pos="1440"/>
        </w:tabs>
        <w:ind w:left="1134" w:hanging="567"/>
      </w:pPr>
      <w:rPr>
        <w:rFonts w:hint="default"/>
        <w:b w:val="0"/>
        <w:i w:val="0"/>
        <w:color w:val="auto"/>
        <w:sz w:val="22"/>
      </w:rPr>
    </w:lvl>
    <w:lvl w:ilvl="2" w:tplc="A3D00932">
      <w:start w:val="1"/>
      <w:numFmt w:val="lowerRoman"/>
      <w:lvlText w:val="(%3)"/>
      <w:lvlJc w:val="left"/>
      <w:pPr>
        <w:tabs>
          <w:tab w:val="num" w:pos="2160"/>
        </w:tabs>
        <w:ind w:left="1701" w:hanging="567"/>
      </w:pPr>
      <w:rPr>
        <w:b w:val="0"/>
        <w:i w:val="0"/>
        <w:sz w:val="22"/>
      </w:rPr>
    </w:lvl>
    <w:lvl w:ilvl="3" w:tplc="21A41A88">
      <w:start w:val="1"/>
      <w:numFmt w:val="decimal"/>
      <w:lvlText w:val="(%4)"/>
      <w:lvlJc w:val="left"/>
      <w:pPr>
        <w:tabs>
          <w:tab w:val="num" w:pos="1440"/>
        </w:tabs>
        <w:ind w:left="1440" w:hanging="360"/>
      </w:pPr>
    </w:lvl>
    <w:lvl w:ilvl="4" w:tplc="32600CAE">
      <w:start w:val="1"/>
      <w:numFmt w:val="lowerLetter"/>
      <w:lvlText w:val="(%5)"/>
      <w:lvlJc w:val="left"/>
      <w:pPr>
        <w:tabs>
          <w:tab w:val="num" w:pos="1800"/>
        </w:tabs>
        <w:ind w:left="1800" w:hanging="360"/>
      </w:pPr>
    </w:lvl>
    <w:lvl w:ilvl="5" w:tplc="E0A2458E">
      <w:start w:val="1"/>
      <w:numFmt w:val="lowerRoman"/>
      <w:lvlText w:val="(%6)"/>
      <w:lvlJc w:val="left"/>
      <w:pPr>
        <w:tabs>
          <w:tab w:val="num" w:pos="2160"/>
        </w:tabs>
        <w:ind w:left="2160" w:hanging="360"/>
      </w:pPr>
    </w:lvl>
    <w:lvl w:ilvl="6" w:tplc="DD7EC97E">
      <w:start w:val="1"/>
      <w:numFmt w:val="decimal"/>
      <w:lvlText w:val="%7."/>
      <w:lvlJc w:val="left"/>
      <w:pPr>
        <w:tabs>
          <w:tab w:val="num" w:pos="2520"/>
        </w:tabs>
        <w:ind w:left="2520" w:hanging="360"/>
      </w:pPr>
    </w:lvl>
    <w:lvl w:ilvl="7" w:tplc="74B0DD4E">
      <w:start w:val="1"/>
      <w:numFmt w:val="lowerLetter"/>
      <w:lvlText w:val="%8."/>
      <w:lvlJc w:val="left"/>
      <w:pPr>
        <w:tabs>
          <w:tab w:val="num" w:pos="2880"/>
        </w:tabs>
        <w:ind w:left="2880" w:hanging="360"/>
      </w:pPr>
    </w:lvl>
    <w:lvl w:ilvl="8" w:tplc="864A2C2C">
      <w:start w:val="1"/>
      <w:numFmt w:val="lowerRoman"/>
      <w:lvlText w:val="(%9)"/>
      <w:lvlJc w:val="left"/>
      <w:pPr>
        <w:tabs>
          <w:tab w:val="num" w:pos="3240"/>
        </w:tabs>
        <w:ind w:left="3240" w:hanging="360"/>
      </w:pPr>
    </w:lvl>
  </w:abstractNum>
  <w:abstractNum w:abstractNumId="25" w15:restartNumberingAfterBreak="0">
    <w:nsid w:val="4EFB48A8"/>
    <w:multiLevelType w:val="hybridMultilevel"/>
    <w:tmpl w:val="DE2E0B98"/>
    <w:lvl w:ilvl="0" w:tplc="EC841346">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6" w15:restartNumberingAfterBreak="0">
    <w:nsid w:val="51B550CD"/>
    <w:multiLevelType w:val="hybridMultilevel"/>
    <w:tmpl w:val="1F344FD8"/>
    <w:lvl w:ilvl="0" w:tplc="DF68578C">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522B1178"/>
    <w:multiLevelType w:val="hybridMultilevel"/>
    <w:tmpl w:val="DE2E0B98"/>
    <w:lvl w:ilvl="0" w:tplc="EC841346">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8" w15:restartNumberingAfterBreak="0">
    <w:nsid w:val="56B80E52"/>
    <w:multiLevelType w:val="hybridMultilevel"/>
    <w:tmpl w:val="267EFA56"/>
    <w:lvl w:ilvl="0" w:tplc="7ED63C4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6E26F13"/>
    <w:multiLevelType w:val="hybridMultilevel"/>
    <w:tmpl w:val="17BE502E"/>
    <w:lvl w:ilvl="0" w:tplc="0AA4A77C">
      <w:start w:val="1"/>
      <w:numFmt w:val="decimal"/>
      <w:lvlText w:val="%1."/>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96EFCDC">
      <w:start w:val="1"/>
      <w:numFmt w:val="lowerLetter"/>
      <w:lvlText w:val="(%2)"/>
      <w:lvlJc w:val="left"/>
      <w:pPr>
        <w:tabs>
          <w:tab w:val="num" w:pos="1440"/>
        </w:tabs>
        <w:ind w:left="1134" w:hanging="567"/>
      </w:pPr>
      <w:rPr>
        <w:rFonts w:hint="default"/>
        <w:b w:val="0"/>
        <w:i w:val="0"/>
        <w:color w:val="auto"/>
        <w:sz w:val="22"/>
      </w:rPr>
    </w:lvl>
    <w:lvl w:ilvl="2" w:tplc="A3D00932">
      <w:start w:val="1"/>
      <w:numFmt w:val="lowerRoman"/>
      <w:lvlText w:val="(%3)"/>
      <w:lvlJc w:val="left"/>
      <w:pPr>
        <w:tabs>
          <w:tab w:val="num" w:pos="2160"/>
        </w:tabs>
        <w:ind w:left="1701" w:hanging="567"/>
      </w:pPr>
      <w:rPr>
        <w:b w:val="0"/>
        <w:i w:val="0"/>
        <w:sz w:val="22"/>
      </w:rPr>
    </w:lvl>
    <w:lvl w:ilvl="3" w:tplc="21A41A88">
      <w:start w:val="1"/>
      <w:numFmt w:val="decimal"/>
      <w:lvlText w:val="(%4)"/>
      <w:lvlJc w:val="left"/>
      <w:pPr>
        <w:tabs>
          <w:tab w:val="num" w:pos="1440"/>
        </w:tabs>
        <w:ind w:left="1440" w:hanging="360"/>
      </w:pPr>
    </w:lvl>
    <w:lvl w:ilvl="4" w:tplc="32600CAE">
      <w:start w:val="1"/>
      <w:numFmt w:val="lowerLetter"/>
      <w:lvlText w:val="(%5)"/>
      <w:lvlJc w:val="left"/>
      <w:pPr>
        <w:tabs>
          <w:tab w:val="num" w:pos="1800"/>
        </w:tabs>
        <w:ind w:left="1800" w:hanging="360"/>
      </w:pPr>
    </w:lvl>
    <w:lvl w:ilvl="5" w:tplc="E0A2458E">
      <w:start w:val="1"/>
      <w:numFmt w:val="lowerRoman"/>
      <w:lvlText w:val="(%6)"/>
      <w:lvlJc w:val="left"/>
      <w:pPr>
        <w:tabs>
          <w:tab w:val="num" w:pos="2160"/>
        </w:tabs>
        <w:ind w:left="2160" w:hanging="360"/>
      </w:pPr>
    </w:lvl>
    <w:lvl w:ilvl="6" w:tplc="DD7EC97E">
      <w:start w:val="1"/>
      <w:numFmt w:val="decimal"/>
      <w:lvlText w:val="%7."/>
      <w:lvlJc w:val="left"/>
      <w:pPr>
        <w:tabs>
          <w:tab w:val="num" w:pos="2520"/>
        </w:tabs>
        <w:ind w:left="2520" w:hanging="360"/>
      </w:pPr>
    </w:lvl>
    <w:lvl w:ilvl="7" w:tplc="74B0DD4E">
      <w:start w:val="1"/>
      <w:numFmt w:val="lowerLetter"/>
      <w:lvlText w:val="%8."/>
      <w:lvlJc w:val="left"/>
      <w:pPr>
        <w:tabs>
          <w:tab w:val="num" w:pos="2880"/>
        </w:tabs>
        <w:ind w:left="2880" w:hanging="360"/>
      </w:pPr>
    </w:lvl>
    <w:lvl w:ilvl="8" w:tplc="864A2C2C">
      <w:start w:val="1"/>
      <w:numFmt w:val="lowerRoman"/>
      <w:lvlText w:val="(%9)"/>
      <w:lvlJc w:val="left"/>
      <w:pPr>
        <w:tabs>
          <w:tab w:val="num" w:pos="3240"/>
        </w:tabs>
        <w:ind w:left="3240" w:hanging="360"/>
      </w:pPr>
    </w:lvl>
  </w:abstractNum>
  <w:abstractNum w:abstractNumId="30" w15:restartNumberingAfterBreak="0">
    <w:nsid w:val="58157789"/>
    <w:multiLevelType w:val="hybridMultilevel"/>
    <w:tmpl w:val="6F52329A"/>
    <w:lvl w:ilvl="0" w:tplc="E41EFF2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ECB64DA"/>
    <w:multiLevelType w:val="hybridMultilevel"/>
    <w:tmpl w:val="A774B5D8"/>
    <w:lvl w:ilvl="0" w:tplc="0AA4A77C">
      <w:start w:val="1"/>
      <w:numFmt w:val="decimal"/>
      <w:lvlText w:val="%1."/>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96EFCDC">
      <w:start w:val="1"/>
      <w:numFmt w:val="lowerLetter"/>
      <w:lvlText w:val="(%2)"/>
      <w:lvlJc w:val="left"/>
      <w:pPr>
        <w:tabs>
          <w:tab w:val="num" w:pos="1440"/>
        </w:tabs>
        <w:ind w:left="1134" w:hanging="567"/>
      </w:pPr>
      <w:rPr>
        <w:rFonts w:hint="default"/>
        <w:b w:val="0"/>
        <w:i w:val="0"/>
        <w:color w:val="auto"/>
        <w:sz w:val="22"/>
      </w:rPr>
    </w:lvl>
    <w:lvl w:ilvl="2" w:tplc="A3D00932">
      <w:start w:val="1"/>
      <w:numFmt w:val="lowerRoman"/>
      <w:lvlText w:val="(%3)"/>
      <w:lvlJc w:val="left"/>
      <w:pPr>
        <w:tabs>
          <w:tab w:val="num" w:pos="2160"/>
        </w:tabs>
        <w:ind w:left="1701" w:hanging="567"/>
      </w:pPr>
      <w:rPr>
        <w:b w:val="0"/>
        <w:i w:val="0"/>
        <w:sz w:val="22"/>
      </w:rPr>
    </w:lvl>
    <w:lvl w:ilvl="3" w:tplc="21A41A88">
      <w:start w:val="1"/>
      <w:numFmt w:val="decimal"/>
      <w:lvlText w:val="(%4)"/>
      <w:lvlJc w:val="left"/>
      <w:pPr>
        <w:tabs>
          <w:tab w:val="num" w:pos="1440"/>
        </w:tabs>
        <w:ind w:left="1440" w:hanging="360"/>
      </w:pPr>
    </w:lvl>
    <w:lvl w:ilvl="4" w:tplc="32600CAE">
      <w:start w:val="1"/>
      <w:numFmt w:val="lowerLetter"/>
      <w:lvlText w:val="(%5)"/>
      <w:lvlJc w:val="left"/>
      <w:pPr>
        <w:tabs>
          <w:tab w:val="num" w:pos="1800"/>
        </w:tabs>
        <w:ind w:left="1800" w:hanging="360"/>
      </w:pPr>
    </w:lvl>
    <w:lvl w:ilvl="5" w:tplc="E0A2458E">
      <w:start w:val="1"/>
      <w:numFmt w:val="lowerRoman"/>
      <w:lvlText w:val="(%6)"/>
      <w:lvlJc w:val="left"/>
      <w:pPr>
        <w:tabs>
          <w:tab w:val="num" w:pos="2160"/>
        </w:tabs>
        <w:ind w:left="2160" w:hanging="360"/>
      </w:pPr>
    </w:lvl>
    <w:lvl w:ilvl="6" w:tplc="DD7EC97E">
      <w:start w:val="1"/>
      <w:numFmt w:val="decimal"/>
      <w:lvlText w:val="%7."/>
      <w:lvlJc w:val="left"/>
      <w:pPr>
        <w:tabs>
          <w:tab w:val="num" w:pos="2520"/>
        </w:tabs>
        <w:ind w:left="2520" w:hanging="360"/>
      </w:pPr>
    </w:lvl>
    <w:lvl w:ilvl="7" w:tplc="74B0DD4E">
      <w:start w:val="1"/>
      <w:numFmt w:val="lowerLetter"/>
      <w:lvlText w:val="%8."/>
      <w:lvlJc w:val="left"/>
      <w:pPr>
        <w:tabs>
          <w:tab w:val="num" w:pos="2880"/>
        </w:tabs>
        <w:ind w:left="2880" w:hanging="360"/>
      </w:pPr>
    </w:lvl>
    <w:lvl w:ilvl="8" w:tplc="864A2C2C">
      <w:start w:val="1"/>
      <w:numFmt w:val="lowerRoman"/>
      <w:lvlText w:val="(%9)"/>
      <w:lvlJc w:val="left"/>
      <w:pPr>
        <w:tabs>
          <w:tab w:val="num" w:pos="3240"/>
        </w:tabs>
        <w:ind w:left="3240" w:hanging="360"/>
      </w:pPr>
    </w:lvl>
  </w:abstractNum>
  <w:abstractNum w:abstractNumId="32" w15:restartNumberingAfterBreak="0">
    <w:nsid w:val="62505418"/>
    <w:multiLevelType w:val="hybridMultilevel"/>
    <w:tmpl w:val="D7100B5C"/>
    <w:lvl w:ilvl="0" w:tplc="91ACF918">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25521E8"/>
    <w:multiLevelType w:val="hybridMultilevel"/>
    <w:tmpl w:val="D8026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7C56AD"/>
    <w:multiLevelType w:val="multilevel"/>
    <w:tmpl w:val="FCC0060A"/>
    <w:lvl w:ilvl="0">
      <w:start w:val="1"/>
      <w:numFmt w:val="decimal"/>
      <w:lvlText w:val="%1."/>
      <w:lvlJc w:val="left"/>
      <w:pPr>
        <w:tabs>
          <w:tab w:val="num" w:pos="720"/>
        </w:tabs>
        <w:ind w:left="720" w:hanging="720"/>
      </w:pPr>
      <w:rPr>
        <w:rFonts w:cs="Times New Roman"/>
        <w:b w:val="0"/>
        <w:i w:val="0"/>
        <w:strike w:val="0"/>
        <w:dstrike w:val="0"/>
        <w:color w:val="auto"/>
        <w:sz w:val="22"/>
        <w:u w:val="none"/>
        <w:effect w:val="none"/>
      </w:rPr>
    </w:lvl>
    <w:lvl w:ilvl="1">
      <w:start w:val="1"/>
      <w:numFmt w:val="lowerLetter"/>
      <w:lvlText w:val="(%2)"/>
      <w:lvlJc w:val="left"/>
      <w:pPr>
        <w:tabs>
          <w:tab w:val="num" w:pos="1440"/>
        </w:tabs>
        <w:ind w:left="1440" w:hanging="720"/>
      </w:pPr>
      <w:rPr>
        <w:rFonts w:ascii="Arial" w:hAnsi="Arial" w:cs="Times New Roman" w:hint="default"/>
        <w:b w:val="0"/>
        <w:i w:val="0"/>
        <w:color w:val="auto"/>
        <w:sz w:val="22"/>
      </w:rPr>
    </w:lvl>
    <w:lvl w:ilvl="2">
      <w:start w:val="1"/>
      <w:numFmt w:val="lowerRoman"/>
      <w:lvlText w:val="(%3)"/>
      <w:lvlJc w:val="left"/>
      <w:pPr>
        <w:tabs>
          <w:tab w:val="num" w:pos="2160"/>
        </w:tabs>
        <w:ind w:left="2160" w:hanging="720"/>
      </w:pPr>
      <w:rPr>
        <w:rFonts w:cs="Times New Roman"/>
        <w:b w:val="0"/>
        <w:i w:val="0"/>
        <w:color w:val="auto"/>
        <w:sz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64CC2B44"/>
    <w:multiLevelType w:val="hybridMultilevel"/>
    <w:tmpl w:val="471677FA"/>
    <w:lvl w:ilvl="0" w:tplc="796EFCD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6B90335F"/>
    <w:multiLevelType w:val="hybridMultilevel"/>
    <w:tmpl w:val="57C0DC42"/>
    <w:lvl w:ilvl="0" w:tplc="0AA4A77C">
      <w:start w:val="1"/>
      <w:numFmt w:val="decimal"/>
      <w:pStyle w:val="11"/>
      <w:lvlText w:val="%1."/>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AAC74C0">
      <w:start w:val="1"/>
      <w:numFmt w:val="lowerLetter"/>
      <w:pStyle w:val="L1"/>
      <w:lvlText w:val="(%2)"/>
      <w:lvlJc w:val="left"/>
      <w:pPr>
        <w:tabs>
          <w:tab w:val="num" w:pos="1440"/>
        </w:tabs>
        <w:ind w:left="1134" w:hanging="567"/>
      </w:pPr>
      <w:rPr>
        <w:rFonts w:ascii="Arial" w:hAnsi="Arial" w:cs="Times New Roman" w:hint="default"/>
        <w:b w:val="0"/>
        <w:i w:val="0"/>
        <w:color w:val="auto"/>
        <w:sz w:val="22"/>
      </w:rPr>
    </w:lvl>
    <w:lvl w:ilvl="2" w:tplc="A3D00932">
      <w:start w:val="1"/>
      <w:numFmt w:val="lowerRoman"/>
      <w:pStyle w:val="3"/>
      <w:lvlText w:val="(%3)"/>
      <w:lvlJc w:val="left"/>
      <w:pPr>
        <w:tabs>
          <w:tab w:val="num" w:pos="2160"/>
        </w:tabs>
        <w:ind w:left="1701" w:hanging="567"/>
      </w:pPr>
      <w:rPr>
        <w:b w:val="0"/>
        <w:i w:val="0"/>
        <w:sz w:val="22"/>
      </w:rPr>
    </w:lvl>
    <w:lvl w:ilvl="3" w:tplc="21A41A88">
      <w:start w:val="1"/>
      <w:numFmt w:val="decimal"/>
      <w:lvlText w:val="(%4)"/>
      <w:lvlJc w:val="left"/>
      <w:pPr>
        <w:tabs>
          <w:tab w:val="num" w:pos="1440"/>
        </w:tabs>
        <w:ind w:left="1440" w:hanging="360"/>
      </w:pPr>
    </w:lvl>
    <w:lvl w:ilvl="4" w:tplc="32600CAE">
      <w:start w:val="1"/>
      <w:numFmt w:val="lowerLetter"/>
      <w:lvlText w:val="(%5)"/>
      <w:lvlJc w:val="left"/>
      <w:pPr>
        <w:tabs>
          <w:tab w:val="num" w:pos="1800"/>
        </w:tabs>
        <w:ind w:left="1800" w:hanging="360"/>
      </w:pPr>
    </w:lvl>
    <w:lvl w:ilvl="5" w:tplc="E0A2458E">
      <w:start w:val="1"/>
      <w:numFmt w:val="lowerRoman"/>
      <w:lvlText w:val="(%6)"/>
      <w:lvlJc w:val="left"/>
      <w:pPr>
        <w:tabs>
          <w:tab w:val="num" w:pos="2160"/>
        </w:tabs>
        <w:ind w:left="2160" w:hanging="360"/>
      </w:pPr>
    </w:lvl>
    <w:lvl w:ilvl="6" w:tplc="DD7EC97E">
      <w:start w:val="1"/>
      <w:numFmt w:val="decimal"/>
      <w:lvlText w:val="%7."/>
      <w:lvlJc w:val="left"/>
      <w:pPr>
        <w:tabs>
          <w:tab w:val="num" w:pos="2520"/>
        </w:tabs>
        <w:ind w:left="2520" w:hanging="360"/>
      </w:pPr>
    </w:lvl>
    <w:lvl w:ilvl="7" w:tplc="74B0DD4E">
      <w:start w:val="1"/>
      <w:numFmt w:val="lowerLetter"/>
      <w:lvlText w:val="%8."/>
      <w:lvlJc w:val="left"/>
      <w:pPr>
        <w:tabs>
          <w:tab w:val="num" w:pos="2880"/>
        </w:tabs>
        <w:ind w:left="2880" w:hanging="360"/>
      </w:pPr>
    </w:lvl>
    <w:lvl w:ilvl="8" w:tplc="864A2C2C">
      <w:start w:val="1"/>
      <w:numFmt w:val="lowerRoman"/>
      <w:lvlText w:val="(%9)"/>
      <w:lvlJc w:val="left"/>
      <w:pPr>
        <w:tabs>
          <w:tab w:val="num" w:pos="3240"/>
        </w:tabs>
        <w:ind w:left="3240" w:hanging="360"/>
      </w:pPr>
    </w:lvl>
  </w:abstractNum>
  <w:abstractNum w:abstractNumId="37" w15:restartNumberingAfterBreak="0">
    <w:nsid w:val="6C595EBA"/>
    <w:multiLevelType w:val="hybridMultilevel"/>
    <w:tmpl w:val="615202E0"/>
    <w:lvl w:ilvl="0" w:tplc="CA965BDC">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8" w15:restartNumberingAfterBreak="0">
    <w:nsid w:val="6FFA1F38"/>
    <w:multiLevelType w:val="hybridMultilevel"/>
    <w:tmpl w:val="1662367E"/>
    <w:lvl w:ilvl="0" w:tplc="E034D1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0EF5EAE"/>
    <w:multiLevelType w:val="hybridMultilevel"/>
    <w:tmpl w:val="221C1166"/>
    <w:lvl w:ilvl="0" w:tplc="0AA4A77C">
      <w:start w:val="1"/>
      <w:numFmt w:val="decimal"/>
      <w:lvlText w:val="%1."/>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96EFCDC">
      <w:start w:val="1"/>
      <w:numFmt w:val="lowerLetter"/>
      <w:lvlText w:val="(%2)"/>
      <w:lvlJc w:val="left"/>
      <w:pPr>
        <w:tabs>
          <w:tab w:val="num" w:pos="1440"/>
        </w:tabs>
        <w:ind w:left="1134" w:hanging="567"/>
      </w:pPr>
      <w:rPr>
        <w:rFonts w:hint="default"/>
        <w:b w:val="0"/>
        <w:i w:val="0"/>
        <w:color w:val="auto"/>
        <w:sz w:val="22"/>
      </w:rPr>
    </w:lvl>
    <w:lvl w:ilvl="2" w:tplc="A3D00932">
      <w:start w:val="1"/>
      <w:numFmt w:val="lowerRoman"/>
      <w:lvlText w:val="(%3)"/>
      <w:lvlJc w:val="left"/>
      <w:pPr>
        <w:tabs>
          <w:tab w:val="num" w:pos="2160"/>
        </w:tabs>
        <w:ind w:left="1701" w:hanging="567"/>
      </w:pPr>
      <w:rPr>
        <w:b w:val="0"/>
        <w:i w:val="0"/>
        <w:sz w:val="22"/>
      </w:rPr>
    </w:lvl>
    <w:lvl w:ilvl="3" w:tplc="21A41A88">
      <w:start w:val="1"/>
      <w:numFmt w:val="decimal"/>
      <w:lvlText w:val="(%4)"/>
      <w:lvlJc w:val="left"/>
      <w:pPr>
        <w:tabs>
          <w:tab w:val="num" w:pos="1440"/>
        </w:tabs>
        <w:ind w:left="1440" w:hanging="360"/>
      </w:pPr>
    </w:lvl>
    <w:lvl w:ilvl="4" w:tplc="32600CAE">
      <w:start w:val="1"/>
      <w:numFmt w:val="lowerLetter"/>
      <w:lvlText w:val="(%5)"/>
      <w:lvlJc w:val="left"/>
      <w:pPr>
        <w:tabs>
          <w:tab w:val="num" w:pos="1800"/>
        </w:tabs>
        <w:ind w:left="1800" w:hanging="360"/>
      </w:pPr>
    </w:lvl>
    <w:lvl w:ilvl="5" w:tplc="E0A2458E">
      <w:start w:val="1"/>
      <w:numFmt w:val="lowerRoman"/>
      <w:lvlText w:val="(%6)"/>
      <w:lvlJc w:val="left"/>
      <w:pPr>
        <w:tabs>
          <w:tab w:val="num" w:pos="2160"/>
        </w:tabs>
        <w:ind w:left="2160" w:hanging="360"/>
      </w:pPr>
    </w:lvl>
    <w:lvl w:ilvl="6" w:tplc="DD7EC97E">
      <w:start w:val="1"/>
      <w:numFmt w:val="decimal"/>
      <w:lvlText w:val="%7."/>
      <w:lvlJc w:val="left"/>
      <w:pPr>
        <w:tabs>
          <w:tab w:val="num" w:pos="2520"/>
        </w:tabs>
        <w:ind w:left="2520" w:hanging="360"/>
      </w:pPr>
    </w:lvl>
    <w:lvl w:ilvl="7" w:tplc="74B0DD4E">
      <w:start w:val="1"/>
      <w:numFmt w:val="lowerLetter"/>
      <w:lvlText w:val="%8."/>
      <w:lvlJc w:val="left"/>
      <w:pPr>
        <w:tabs>
          <w:tab w:val="num" w:pos="2880"/>
        </w:tabs>
        <w:ind w:left="2880" w:hanging="360"/>
      </w:pPr>
    </w:lvl>
    <w:lvl w:ilvl="8" w:tplc="864A2C2C">
      <w:start w:val="1"/>
      <w:numFmt w:val="lowerRoman"/>
      <w:lvlText w:val="(%9)"/>
      <w:lvlJc w:val="left"/>
      <w:pPr>
        <w:tabs>
          <w:tab w:val="num" w:pos="3240"/>
        </w:tabs>
        <w:ind w:left="3240" w:hanging="360"/>
      </w:pPr>
    </w:lvl>
  </w:abstractNum>
  <w:abstractNum w:abstractNumId="40" w15:restartNumberingAfterBreak="0">
    <w:nsid w:val="77413ED2"/>
    <w:multiLevelType w:val="hybridMultilevel"/>
    <w:tmpl w:val="21588D04"/>
    <w:lvl w:ilvl="0" w:tplc="E408A0D8">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num w:numId="1">
    <w:abstractNumId w:val="16"/>
  </w:num>
  <w:num w:numId="2">
    <w:abstractNumId w:val="4"/>
  </w:num>
  <w:num w:numId="3">
    <w:abstractNumId w:val="9"/>
  </w:num>
  <w:num w:numId="4">
    <w:abstractNumId w:val="38"/>
  </w:num>
  <w:num w:numId="5">
    <w:abstractNumId w:val="35"/>
  </w:num>
  <w:num w:numId="6">
    <w:abstractNumId w:val="26"/>
  </w:num>
  <w:num w:numId="7">
    <w:abstractNumId w:val="12"/>
  </w:num>
  <w:num w:numId="8">
    <w:abstractNumId w:val="13"/>
  </w:num>
  <w:num w:numId="9">
    <w:abstractNumId w:val="25"/>
  </w:num>
  <w:num w:numId="10">
    <w:abstractNumId w:val="27"/>
  </w:num>
  <w:num w:numId="11">
    <w:abstractNumId w:val="7"/>
  </w:num>
  <w:num w:numId="12">
    <w:abstractNumId w:val="14"/>
  </w:num>
  <w:num w:numId="13">
    <w:abstractNumId w:val="8"/>
  </w:num>
  <w:num w:numId="14">
    <w:abstractNumId w:val="21"/>
  </w:num>
  <w:num w:numId="15">
    <w:abstractNumId w:val="28"/>
  </w:num>
  <w:num w:numId="16">
    <w:abstractNumId w:val="30"/>
  </w:num>
  <w:num w:numId="17">
    <w:abstractNumId w:val="40"/>
  </w:num>
  <w:num w:numId="18">
    <w:abstractNumId w:val="37"/>
  </w:num>
  <w:num w:numId="19">
    <w:abstractNumId w:val="33"/>
  </w:num>
  <w:num w:numId="20">
    <w:abstractNumId w:val="5"/>
  </w:num>
  <w:num w:numId="21">
    <w:abstractNumId w:val="3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6"/>
  </w:num>
  <w:num w:numId="29">
    <w:abstractNumId w:val="10"/>
  </w:num>
  <w:num w:numId="30">
    <w:abstractNumId w:val="1"/>
  </w:num>
  <w:num w:numId="31">
    <w:abstractNumId w:val="11"/>
  </w:num>
  <w:num w:numId="32">
    <w:abstractNumId w:val="29"/>
  </w:num>
  <w:num w:numId="33">
    <w:abstractNumId w:val="31"/>
  </w:num>
  <w:num w:numId="34">
    <w:abstractNumId w:val="23"/>
  </w:num>
  <w:num w:numId="35">
    <w:abstractNumId w:val="24"/>
  </w:num>
  <w:num w:numId="36">
    <w:abstractNumId w:val="17"/>
  </w:num>
  <w:num w:numId="37">
    <w:abstractNumId w:val="19"/>
  </w:num>
  <w:num w:numId="38">
    <w:abstractNumId w:val="2"/>
  </w:num>
  <w:num w:numId="39">
    <w:abstractNumId w:val="39"/>
  </w:num>
  <w:num w:numId="40">
    <w:abstractNumId w:val="3"/>
  </w:num>
  <w:num w:numId="41">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F23"/>
    <w:rsid w:val="00003E83"/>
    <w:rsid w:val="00004D83"/>
    <w:rsid w:val="00011BA5"/>
    <w:rsid w:val="000149C8"/>
    <w:rsid w:val="00016F64"/>
    <w:rsid w:val="000237F8"/>
    <w:rsid w:val="00034AE5"/>
    <w:rsid w:val="000419F5"/>
    <w:rsid w:val="00046737"/>
    <w:rsid w:val="00047445"/>
    <w:rsid w:val="00051CB5"/>
    <w:rsid w:val="00056B18"/>
    <w:rsid w:val="00074298"/>
    <w:rsid w:val="000835B7"/>
    <w:rsid w:val="00083BE7"/>
    <w:rsid w:val="00090B3B"/>
    <w:rsid w:val="00095CEE"/>
    <w:rsid w:val="000A3506"/>
    <w:rsid w:val="000A6350"/>
    <w:rsid w:val="000A7607"/>
    <w:rsid w:val="000B2956"/>
    <w:rsid w:val="000B2EC3"/>
    <w:rsid w:val="000D0573"/>
    <w:rsid w:val="000D2A8B"/>
    <w:rsid w:val="000E71BE"/>
    <w:rsid w:val="000F0327"/>
    <w:rsid w:val="001028A1"/>
    <w:rsid w:val="001050C7"/>
    <w:rsid w:val="00110F95"/>
    <w:rsid w:val="00120ADF"/>
    <w:rsid w:val="00133BA9"/>
    <w:rsid w:val="0014492D"/>
    <w:rsid w:val="00166FE7"/>
    <w:rsid w:val="00171CD3"/>
    <w:rsid w:val="00173D72"/>
    <w:rsid w:val="001828DB"/>
    <w:rsid w:val="001A25F9"/>
    <w:rsid w:val="001A2E1B"/>
    <w:rsid w:val="001A31E7"/>
    <w:rsid w:val="001B0CE7"/>
    <w:rsid w:val="001B2D7F"/>
    <w:rsid w:val="001C2DE4"/>
    <w:rsid w:val="001C66E2"/>
    <w:rsid w:val="001D061F"/>
    <w:rsid w:val="001E6D06"/>
    <w:rsid w:val="001F0F1D"/>
    <w:rsid w:val="00202612"/>
    <w:rsid w:val="002041D9"/>
    <w:rsid w:val="00224013"/>
    <w:rsid w:val="0022555B"/>
    <w:rsid w:val="002303C7"/>
    <w:rsid w:val="0023186D"/>
    <w:rsid w:val="00231EDD"/>
    <w:rsid w:val="002358C9"/>
    <w:rsid w:val="002422C3"/>
    <w:rsid w:val="0024280A"/>
    <w:rsid w:val="00244C3A"/>
    <w:rsid w:val="00251884"/>
    <w:rsid w:val="00256F8D"/>
    <w:rsid w:val="00263298"/>
    <w:rsid w:val="00264040"/>
    <w:rsid w:val="00264534"/>
    <w:rsid w:val="00267840"/>
    <w:rsid w:val="002746C6"/>
    <w:rsid w:val="00280014"/>
    <w:rsid w:val="002815B9"/>
    <w:rsid w:val="002815D1"/>
    <w:rsid w:val="0029638D"/>
    <w:rsid w:val="002B0817"/>
    <w:rsid w:val="002C5CBB"/>
    <w:rsid w:val="002D36E5"/>
    <w:rsid w:val="002D48DD"/>
    <w:rsid w:val="002D62DB"/>
    <w:rsid w:val="002E5C3B"/>
    <w:rsid w:val="002F5C42"/>
    <w:rsid w:val="002F6D52"/>
    <w:rsid w:val="00323EE8"/>
    <w:rsid w:val="00330E8F"/>
    <w:rsid w:val="0034290D"/>
    <w:rsid w:val="00346F91"/>
    <w:rsid w:val="003500F7"/>
    <w:rsid w:val="00355E0C"/>
    <w:rsid w:val="00374B5A"/>
    <w:rsid w:val="00397804"/>
    <w:rsid w:val="003A1222"/>
    <w:rsid w:val="003C0495"/>
    <w:rsid w:val="003C505C"/>
    <w:rsid w:val="003D1A22"/>
    <w:rsid w:val="003E289E"/>
    <w:rsid w:val="003E67D8"/>
    <w:rsid w:val="004044E0"/>
    <w:rsid w:val="00406097"/>
    <w:rsid w:val="0041444C"/>
    <w:rsid w:val="00416E2D"/>
    <w:rsid w:val="00424C74"/>
    <w:rsid w:val="00440346"/>
    <w:rsid w:val="00447AEB"/>
    <w:rsid w:val="00450730"/>
    <w:rsid w:val="004517A7"/>
    <w:rsid w:val="0045441F"/>
    <w:rsid w:val="0045764E"/>
    <w:rsid w:val="00463B3C"/>
    <w:rsid w:val="0047119A"/>
    <w:rsid w:val="00493D2B"/>
    <w:rsid w:val="004A0BA2"/>
    <w:rsid w:val="004A3606"/>
    <w:rsid w:val="004B1CA0"/>
    <w:rsid w:val="004B5978"/>
    <w:rsid w:val="004C155A"/>
    <w:rsid w:val="004C33F5"/>
    <w:rsid w:val="004E3F7F"/>
    <w:rsid w:val="004E43A7"/>
    <w:rsid w:val="004E4907"/>
    <w:rsid w:val="004E553F"/>
    <w:rsid w:val="004E658A"/>
    <w:rsid w:val="004F7F05"/>
    <w:rsid w:val="00500D0C"/>
    <w:rsid w:val="00503F93"/>
    <w:rsid w:val="0051750E"/>
    <w:rsid w:val="00521773"/>
    <w:rsid w:val="00524443"/>
    <w:rsid w:val="00532C69"/>
    <w:rsid w:val="0053637D"/>
    <w:rsid w:val="00564C4E"/>
    <w:rsid w:val="005652C5"/>
    <w:rsid w:val="00570DCA"/>
    <w:rsid w:val="0057423F"/>
    <w:rsid w:val="005801F6"/>
    <w:rsid w:val="005921AB"/>
    <w:rsid w:val="00593EA0"/>
    <w:rsid w:val="00594E85"/>
    <w:rsid w:val="005A5966"/>
    <w:rsid w:val="005B598A"/>
    <w:rsid w:val="005C6AEE"/>
    <w:rsid w:val="005D0CD3"/>
    <w:rsid w:val="005D7E16"/>
    <w:rsid w:val="005E2903"/>
    <w:rsid w:val="005E755E"/>
    <w:rsid w:val="005F024C"/>
    <w:rsid w:val="005F2284"/>
    <w:rsid w:val="005F3245"/>
    <w:rsid w:val="00610A97"/>
    <w:rsid w:val="006117D8"/>
    <w:rsid w:val="00611C4D"/>
    <w:rsid w:val="00626CEA"/>
    <w:rsid w:val="00627CA2"/>
    <w:rsid w:val="00632FEB"/>
    <w:rsid w:val="006345C2"/>
    <w:rsid w:val="00642036"/>
    <w:rsid w:val="00643CC8"/>
    <w:rsid w:val="00646CEE"/>
    <w:rsid w:val="006623C5"/>
    <w:rsid w:val="00667A9E"/>
    <w:rsid w:val="006700C9"/>
    <w:rsid w:val="00672D2E"/>
    <w:rsid w:val="00673129"/>
    <w:rsid w:val="00675B7A"/>
    <w:rsid w:val="00675E84"/>
    <w:rsid w:val="00680722"/>
    <w:rsid w:val="00687C60"/>
    <w:rsid w:val="006B22D5"/>
    <w:rsid w:val="006C045D"/>
    <w:rsid w:val="006C282D"/>
    <w:rsid w:val="006C5760"/>
    <w:rsid w:val="006D023E"/>
    <w:rsid w:val="006D1917"/>
    <w:rsid w:val="006D7703"/>
    <w:rsid w:val="006E21D2"/>
    <w:rsid w:val="006E3335"/>
    <w:rsid w:val="006E52F9"/>
    <w:rsid w:val="006E6381"/>
    <w:rsid w:val="006F58F3"/>
    <w:rsid w:val="006F6651"/>
    <w:rsid w:val="00706ECE"/>
    <w:rsid w:val="00714257"/>
    <w:rsid w:val="0072127F"/>
    <w:rsid w:val="00735CE3"/>
    <w:rsid w:val="00752658"/>
    <w:rsid w:val="00755BB7"/>
    <w:rsid w:val="00787B0F"/>
    <w:rsid w:val="00795D67"/>
    <w:rsid w:val="007B0B9C"/>
    <w:rsid w:val="007B355C"/>
    <w:rsid w:val="007D086E"/>
    <w:rsid w:val="007F30EC"/>
    <w:rsid w:val="00802C97"/>
    <w:rsid w:val="00806C52"/>
    <w:rsid w:val="00816927"/>
    <w:rsid w:val="00820750"/>
    <w:rsid w:val="00842191"/>
    <w:rsid w:val="00845D0B"/>
    <w:rsid w:val="00846A12"/>
    <w:rsid w:val="00873254"/>
    <w:rsid w:val="008746A9"/>
    <w:rsid w:val="00875489"/>
    <w:rsid w:val="008774D5"/>
    <w:rsid w:val="00895C53"/>
    <w:rsid w:val="008A0069"/>
    <w:rsid w:val="008A3B0C"/>
    <w:rsid w:val="008A479D"/>
    <w:rsid w:val="008A7EE9"/>
    <w:rsid w:val="008B1751"/>
    <w:rsid w:val="008C2478"/>
    <w:rsid w:val="008D51DE"/>
    <w:rsid w:val="008E0A42"/>
    <w:rsid w:val="008E3E66"/>
    <w:rsid w:val="008E5DFC"/>
    <w:rsid w:val="008E7E3A"/>
    <w:rsid w:val="00902A74"/>
    <w:rsid w:val="00906837"/>
    <w:rsid w:val="0091134F"/>
    <w:rsid w:val="00911E25"/>
    <w:rsid w:val="00924A51"/>
    <w:rsid w:val="00926A69"/>
    <w:rsid w:val="00943E81"/>
    <w:rsid w:val="0094779B"/>
    <w:rsid w:val="00957DA9"/>
    <w:rsid w:val="0097442D"/>
    <w:rsid w:val="00990A12"/>
    <w:rsid w:val="0099486C"/>
    <w:rsid w:val="009A0EBD"/>
    <w:rsid w:val="009A3292"/>
    <w:rsid w:val="009A52E1"/>
    <w:rsid w:val="009A53A7"/>
    <w:rsid w:val="009B20B7"/>
    <w:rsid w:val="009B4F7B"/>
    <w:rsid w:val="009B51B7"/>
    <w:rsid w:val="009C2A50"/>
    <w:rsid w:val="009C520A"/>
    <w:rsid w:val="009E6EDF"/>
    <w:rsid w:val="009F2987"/>
    <w:rsid w:val="009F408D"/>
    <w:rsid w:val="00A0071E"/>
    <w:rsid w:val="00A04E64"/>
    <w:rsid w:val="00A248D0"/>
    <w:rsid w:val="00A60000"/>
    <w:rsid w:val="00A60DC0"/>
    <w:rsid w:val="00A71598"/>
    <w:rsid w:val="00A818AF"/>
    <w:rsid w:val="00A846DF"/>
    <w:rsid w:val="00A9484F"/>
    <w:rsid w:val="00AB07E4"/>
    <w:rsid w:val="00AB2893"/>
    <w:rsid w:val="00AB2ED9"/>
    <w:rsid w:val="00AB3077"/>
    <w:rsid w:val="00AC09CE"/>
    <w:rsid w:val="00AD5E31"/>
    <w:rsid w:val="00AE5E61"/>
    <w:rsid w:val="00AF1816"/>
    <w:rsid w:val="00AF36B2"/>
    <w:rsid w:val="00B1448A"/>
    <w:rsid w:val="00B312D2"/>
    <w:rsid w:val="00B32189"/>
    <w:rsid w:val="00B35027"/>
    <w:rsid w:val="00B424AC"/>
    <w:rsid w:val="00B5633A"/>
    <w:rsid w:val="00B72F26"/>
    <w:rsid w:val="00B86524"/>
    <w:rsid w:val="00B906FC"/>
    <w:rsid w:val="00B92079"/>
    <w:rsid w:val="00BC11BF"/>
    <w:rsid w:val="00BC5379"/>
    <w:rsid w:val="00BD04FC"/>
    <w:rsid w:val="00BE0A8F"/>
    <w:rsid w:val="00BE3094"/>
    <w:rsid w:val="00BF23E6"/>
    <w:rsid w:val="00C03D4F"/>
    <w:rsid w:val="00C11A70"/>
    <w:rsid w:val="00C14C46"/>
    <w:rsid w:val="00C174A2"/>
    <w:rsid w:val="00C210C5"/>
    <w:rsid w:val="00C24BA2"/>
    <w:rsid w:val="00C473FC"/>
    <w:rsid w:val="00C52F61"/>
    <w:rsid w:val="00C558C2"/>
    <w:rsid w:val="00C62CF1"/>
    <w:rsid w:val="00C63C5D"/>
    <w:rsid w:val="00C670DD"/>
    <w:rsid w:val="00C75FD8"/>
    <w:rsid w:val="00CA24D0"/>
    <w:rsid w:val="00CA2A74"/>
    <w:rsid w:val="00CA4EEB"/>
    <w:rsid w:val="00CB2926"/>
    <w:rsid w:val="00CB5FB0"/>
    <w:rsid w:val="00CC0D34"/>
    <w:rsid w:val="00CD115A"/>
    <w:rsid w:val="00CE7D9A"/>
    <w:rsid w:val="00CF2A72"/>
    <w:rsid w:val="00CF3D61"/>
    <w:rsid w:val="00CF7F7B"/>
    <w:rsid w:val="00D303A0"/>
    <w:rsid w:val="00D333E3"/>
    <w:rsid w:val="00D33C25"/>
    <w:rsid w:val="00D35386"/>
    <w:rsid w:val="00D40CDB"/>
    <w:rsid w:val="00D42DED"/>
    <w:rsid w:val="00D447B0"/>
    <w:rsid w:val="00D47D35"/>
    <w:rsid w:val="00D47F23"/>
    <w:rsid w:val="00D53781"/>
    <w:rsid w:val="00D566CA"/>
    <w:rsid w:val="00D74898"/>
    <w:rsid w:val="00D83DE6"/>
    <w:rsid w:val="00D97CA0"/>
    <w:rsid w:val="00DA3286"/>
    <w:rsid w:val="00DA3DCF"/>
    <w:rsid w:val="00DB3874"/>
    <w:rsid w:val="00DB3ABB"/>
    <w:rsid w:val="00DC6099"/>
    <w:rsid w:val="00DD3D10"/>
    <w:rsid w:val="00DF2896"/>
    <w:rsid w:val="00E21832"/>
    <w:rsid w:val="00E26524"/>
    <w:rsid w:val="00E33264"/>
    <w:rsid w:val="00E47168"/>
    <w:rsid w:val="00E51D14"/>
    <w:rsid w:val="00E52704"/>
    <w:rsid w:val="00E83D5E"/>
    <w:rsid w:val="00E85D7C"/>
    <w:rsid w:val="00EA17BA"/>
    <w:rsid w:val="00EF1710"/>
    <w:rsid w:val="00EF56B2"/>
    <w:rsid w:val="00EF6753"/>
    <w:rsid w:val="00F00CBB"/>
    <w:rsid w:val="00F0239C"/>
    <w:rsid w:val="00F03E92"/>
    <w:rsid w:val="00F06681"/>
    <w:rsid w:val="00F11726"/>
    <w:rsid w:val="00F20999"/>
    <w:rsid w:val="00F234D3"/>
    <w:rsid w:val="00F316D7"/>
    <w:rsid w:val="00F47C71"/>
    <w:rsid w:val="00F538B7"/>
    <w:rsid w:val="00F82156"/>
    <w:rsid w:val="00F959D7"/>
    <w:rsid w:val="00F965F4"/>
    <w:rsid w:val="00FB2B85"/>
    <w:rsid w:val="00FB482B"/>
    <w:rsid w:val="00FC4E07"/>
    <w:rsid w:val="00FC4F81"/>
    <w:rsid w:val="00FD23CB"/>
    <w:rsid w:val="00FD6122"/>
    <w:rsid w:val="00FE3478"/>
    <w:rsid w:val="00FF08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2797ED"/>
  <w15:docId w15:val="{EF2AAF26-BF3B-480B-B15A-7B3F08A3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szCs w:val="24"/>
    </w:rPr>
  </w:style>
  <w:style w:type="paragraph" w:styleId="Heading1">
    <w:name w:val="heading 1"/>
    <w:aliases w:val="ReportNumberedHeadings"/>
    <w:basedOn w:val="Normal"/>
    <w:next w:val="Normal"/>
    <w:link w:val="Heading1Char"/>
    <w:qFormat/>
    <w:rsid w:val="00F965F4"/>
    <w:pPr>
      <w:keepNext/>
      <w:numPr>
        <w:numId w:val="22"/>
      </w:numPr>
      <w:shd w:val="pct30" w:color="auto" w:fill="auto"/>
      <w:spacing w:before="240" w:after="60"/>
      <w:outlineLvl w:val="0"/>
    </w:pPr>
    <w:rPr>
      <w:caps/>
      <w:color w:val="FFFFFF"/>
      <w:kern w:val="28"/>
      <w:szCs w:val="20"/>
      <w:lang w:eastAsia="en-US"/>
    </w:rPr>
  </w:style>
  <w:style w:type="paragraph" w:styleId="Heading2">
    <w:name w:val="heading 2"/>
    <w:basedOn w:val="Normal"/>
    <w:next w:val="Normal"/>
    <w:link w:val="Heading2Char"/>
    <w:semiHidden/>
    <w:unhideWhenUsed/>
    <w:qFormat/>
    <w:rsid w:val="00F965F4"/>
    <w:pPr>
      <w:keepNext/>
      <w:numPr>
        <w:ilvl w:val="1"/>
        <w:numId w:val="22"/>
      </w:numPr>
      <w:spacing w:before="240" w:after="60"/>
      <w:outlineLvl w:val="1"/>
    </w:pPr>
    <w:rPr>
      <w:b/>
      <w:i/>
      <w:sz w:val="24"/>
      <w:szCs w:val="20"/>
      <w:lang w:eastAsia="en-US"/>
    </w:rPr>
  </w:style>
  <w:style w:type="paragraph" w:styleId="Heading3">
    <w:name w:val="heading 3"/>
    <w:basedOn w:val="Normal"/>
    <w:next w:val="Normal"/>
    <w:link w:val="Heading3Char"/>
    <w:semiHidden/>
    <w:unhideWhenUsed/>
    <w:qFormat/>
    <w:rsid w:val="00F965F4"/>
    <w:pPr>
      <w:keepNext/>
      <w:numPr>
        <w:ilvl w:val="2"/>
        <w:numId w:val="22"/>
      </w:numPr>
      <w:spacing w:before="240" w:after="60"/>
      <w:outlineLvl w:val="2"/>
    </w:pPr>
    <w:rPr>
      <w:sz w:val="24"/>
      <w:szCs w:val="20"/>
      <w:lang w:eastAsia="en-US"/>
    </w:rPr>
  </w:style>
  <w:style w:type="paragraph" w:styleId="Heading4">
    <w:name w:val="heading 4"/>
    <w:basedOn w:val="Normal"/>
    <w:next w:val="Normal"/>
    <w:link w:val="Heading4Char"/>
    <w:semiHidden/>
    <w:unhideWhenUsed/>
    <w:qFormat/>
    <w:rsid w:val="00F965F4"/>
    <w:pPr>
      <w:keepNext/>
      <w:numPr>
        <w:ilvl w:val="3"/>
        <w:numId w:val="22"/>
      </w:numPr>
      <w:spacing w:before="240" w:after="60"/>
      <w:outlineLvl w:val="3"/>
    </w:pPr>
    <w:rPr>
      <w:b/>
      <w:sz w:val="24"/>
      <w:szCs w:val="20"/>
      <w:lang w:eastAsia="en-US"/>
    </w:rPr>
  </w:style>
  <w:style w:type="paragraph" w:styleId="Heading5">
    <w:name w:val="heading 5"/>
    <w:basedOn w:val="Normal"/>
    <w:next w:val="Normal"/>
    <w:link w:val="Heading5Char"/>
    <w:semiHidden/>
    <w:unhideWhenUsed/>
    <w:qFormat/>
    <w:rsid w:val="00F965F4"/>
    <w:pPr>
      <w:numPr>
        <w:ilvl w:val="4"/>
        <w:numId w:val="22"/>
      </w:numPr>
      <w:spacing w:before="240" w:after="60"/>
      <w:outlineLvl w:val="4"/>
    </w:pPr>
    <w:rPr>
      <w:szCs w:val="20"/>
      <w:lang w:eastAsia="en-US"/>
    </w:rPr>
  </w:style>
  <w:style w:type="paragraph" w:styleId="Heading7">
    <w:name w:val="heading 7"/>
    <w:basedOn w:val="Normal"/>
    <w:next w:val="Normal"/>
    <w:link w:val="Heading7Char"/>
    <w:semiHidden/>
    <w:unhideWhenUsed/>
    <w:qFormat/>
    <w:rsid w:val="00F965F4"/>
    <w:pPr>
      <w:numPr>
        <w:ilvl w:val="6"/>
        <w:numId w:val="22"/>
      </w:numPr>
      <w:spacing w:before="240" w:after="60"/>
      <w:outlineLvl w:val="6"/>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Heading">
    <w:name w:val="DAHeading"/>
    <w:basedOn w:val="Normal"/>
    <w:next w:val="Normal"/>
    <w:pPr>
      <w:numPr>
        <w:numId w:val="1"/>
      </w:numPr>
    </w:pPr>
    <w:rPr>
      <w:b/>
    </w:rPr>
  </w:style>
  <w:style w:type="character" w:styleId="Hyperlink">
    <w:name w:val="Hyperlink"/>
    <w:uiPriority w:val="99"/>
    <w:rPr>
      <w:color w:val="0000FF"/>
      <w:u w:val="single"/>
    </w:rPr>
  </w:style>
  <w:style w:type="character" w:styleId="FootnoteReference">
    <w:name w:val="footnote reference"/>
    <w:semiHidden/>
    <w:rPr>
      <w:rFonts w:ascii="Arial" w:hAnsi="Arial"/>
      <w:sz w:val="16"/>
      <w:vertAlign w:val="superscript"/>
    </w:rPr>
  </w:style>
  <w:style w:type="paragraph" w:styleId="FootnoteText">
    <w:name w:val="footnote text"/>
    <w:basedOn w:val="Normal"/>
    <w:semiHidden/>
    <w:pPr>
      <w:keepLines/>
      <w:overflowPunct w:val="0"/>
      <w:autoSpaceDE w:val="0"/>
      <w:autoSpaceDN w:val="0"/>
      <w:adjustRightInd w:val="0"/>
      <w:spacing w:after="60"/>
      <w:ind w:left="113" w:hanging="113"/>
      <w:textAlignment w:val="baseline"/>
    </w:pPr>
    <w:rPr>
      <w:sz w:val="14"/>
      <w:szCs w:val="20"/>
      <w:lang w:eastAsia="en-US"/>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ig">
    <w:name w:val="Sig"/>
    <w:basedOn w:val="Normal"/>
    <w:pPr>
      <w:overflowPunct w:val="0"/>
      <w:autoSpaceDE w:val="0"/>
      <w:autoSpaceDN w:val="0"/>
      <w:adjustRightInd w:val="0"/>
      <w:textAlignment w:val="baseline"/>
    </w:pPr>
    <w:rPr>
      <w:sz w:val="20"/>
      <w:szCs w:val="20"/>
      <w:lang w:eastAsia="en-US"/>
    </w:rPr>
  </w:style>
  <w:style w:type="paragraph" w:customStyle="1" w:styleId="rcBodyText">
    <w:name w:val="rcBodyText"/>
    <w:basedOn w:val="Normal"/>
    <w:link w:val="rcBodyTextChar"/>
    <w:rsid w:val="00BE3094"/>
    <w:rPr>
      <w:szCs w:val="20"/>
      <w:lang w:eastAsia="en-US"/>
    </w:rPr>
  </w:style>
  <w:style w:type="character" w:customStyle="1" w:styleId="rcBodyTextChar">
    <w:name w:val="rcBodyText Char"/>
    <w:link w:val="rcBodyText"/>
    <w:rsid w:val="00BE3094"/>
    <w:rPr>
      <w:rFonts w:ascii="Arial" w:hAnsi="Arial"/>
      <w:sz w:val="22"/>
      <w:lang w:val="en-AU" w:eastAsia="en-US" w:bidi="ar-SA"/>
    </w:rPr>
  </w:style>
  <w:style w:type="paragraph" w:customStyle="1" w:styleId="NumberLevel1">
    <w:name w:val="Number Level 1"/>
    <w:basedOn w:val="Normal"/>
    <w:qFormat/>
    <w:rsid w:val="009C2A50"/>
    <w:pPr>
      <w:numPr>
        <w:numId w:val="2"/>
      </w:numPr>
      <w:tabs>
        <w:tab w:val="left" w:pos="567"/>
      </w:tabs>
    </w:pPr>
    <w:rPr>
      <w:szCs w:val="20"/>
      <w:lang w:eastAsia="en-US"/>
    </w:rPr>
  </w:style>
  <w:style w:type="paragraph" w:customStyle="1" w:styleId="NumberLevel2">
    <w:name w:val="Number Level 2"/>
    <w:basedOn w:val="NumberLevel1"/>
    <w:qFormat/>
    <w:rsid w:val="009C2A50"/>
    <w:pPr>
      <w:numPr>
        <w:ilvl w:val="1"/>
      </w:numPr>
    </w:pPr>
  </w:style>
  <w:style w:type="paragraph" w:customStyle="1" w:styleId="NumberLevel3">
    <w:name w:val="Number Level 3"/>
    <w:basedOn w:val="NumberLevel2"/>
    <w:qFormat/>
    <w:rsid w:val="009C2A50"/>
    <w:pPr>
      <w:numPr>
        <w:ilvl w:val="2"/>
      </w:numPr>
    </w:pPr>
  </w:style>
  <w:style w:type="paragraph" w:styleId="ListParagraph">
    <w:name w:val="List Paragraph"/>
    <w:basedOn w:val="Normal"/>
    <w:link w:val="ListParagraphChar"/>
    <w:uiPriority w:val="34"/>
    <w:qFormat/>
    <w:rsid w:val="00675B7A"/>
    <w:pPr>
      <w:ind w:left="720"/>
      <w:contextualSpacing/>
    </w:pPr>
  </w:style>
  <w:style w:type="numbering" w:customStyle="1" w:styleId="NumberingConditions">
    <w:name w:val="Numbering Conditions"/>
    <w:basedOn w:val="NoList"/>
    <w:rsid w:val="00521773"/>
    <w:pPr>
      <w:numPr>
        <w:numId w:val="3"/>
      </w:numPr>
    </w:pPr>
  </w:style>
  <w:style w:type="table" w:customStyle="1" w:styleId="TableGrid1">
    <w:name w:val="Table Grid1"/>
    <w:basedOn w:val="TableNormal"/>
    <w:next w:val="TableGrid"/>
    <w:rsid w:val="00974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4779B"/>
    <w:rPr>
      <w:sz w:val="16"/>
      <w:szCs w:val="16"/>
    </w:rPr>
  </w:style>
  <w:style w:type="paragraph" w:styleId="CommentText">
    <w:name w:val="annotation text"/>
    <w:basedOn w:val="Normal"/>
    <w:link w:val="CommentTextChar"/>
    <w:semiHidden/>
    <w:unhideWhenUsed/>
    <w:rsid w:val="0094779B"/>
    <w:rPr>
      <w:sz w:val="20"/>
      <w:szCs w:val="20"/>
    </w:rPr>
  </w:style>
  <w:style w:type="character" w:customStyle="1" w:styleId="CommentTextChar">
    <w:name w:val="Comment Text Char"/>
    <w:basedOn w:val="DefaultParagraphFont"/>
    <w:link w:val="CommentText"/>
    <w:semiHidden/>
    <w:rsid w:val="0094779B"/>
    <w:rPr>
      <w:rFonts w:ascii="Arial" w:hAnsi="Arial"/>
    </w:rPr>
  </w:style>
  <w:style w:type="paragraph" w:styleId="CommentSubject">
    <w:name w:val="annotation subject"/>
    <w:basedOn w:val="CommentText"/>
    <w:next w:val="CommentText"/>
    <w:link w:val="CommentSubjectChar"/>
    <w:semiHidden/>
    <w:unhideWhenUsed/>
    <w:rsid w:val="0094779B"/>
    <w:rPr>
      <w:b/>
      <w:bCs/>
    </w:rPr>
  </w:style>
  <w:style w:type="character" w:customStyle="1" w:styleId="CommentSubjectChar">
    <w:name w:val="Comment Subject Char"/>
    <w:basedOn w:val="CommentTextChar"/>
    <w:link w:val="CommentSubject"/>
    <w:semiHidden/>
    <w:rsid w:val="0094779B"/>
    <w:rPr>
      <w:rFonts w:ascii="Arial" w:hAnsi="Arial"/>
      <w:b/>
      <w:bCs/>
    </w:rPr>
  </w:style>
  <w:style w:type="character" w:styleId="PlaceholderText">
    <w:name w:val="Placeholder Text"/>
    <w:basedOn w:val="DefaultParagraphFont"/>
    <w:uiPriority w:val="99"/>
    <w:semiHidden/>
    <w:rsid w:val="00B424AC"/>
    <w:rPr>
      <w:color w:val="808080"/>
    </w:rPr>
  </w:style>
  <w:style w:type="character" w:customStyle="1" w:styleId="FooterChar">
    <w:name w:val="Footer Char"/>
    <w:basedOn w:val="DefaultParagraphFont"/>
    <w:link w:val="Footer"/>
    <w:rsid w:val="00263298"/>
    <w:rPr>
      <w:rFonts w:ascii="Arial" w:hAnsi="Arial"/>
      <w:sz w:val="22"/>
      <w:szCs w:val="24"/>
    </w:rPr>
  </w:style>
  <w:style w:type="character" w:customStyle="1" w:styleId="Heading1Char">
    <w:name w:val="Heading 1 Char"/>
    <w:aliases w:val="ReportNumberedHeadings Char"/>
    <w:basedOn w:val="DefaultParagraphFont"/>
    <w:link w:val="Heading1"/>
    <w:rsid w:val="00F965F4"/>
    <w:rPr>
      <w:rFonts w:ascii="Arial" w:hAnsi="Arial"/>
      <w:caps/>
      <w:color w:val="FFFFFF"/>
      <w:kern w:val="28"/>
      <w:sz w:val="22"/>
      <w:shd w:val="pct30" w:color="auto" w:fill="auto"/>
      <w:lang w:eastAsia="en-US"/>
    </w:rPr>
  </w:style>
  <w:style w:type="character" w:customStyle="1" w:styleId="Heading2Char">
    <w:name w:val="Heading 2 Char"/>
    <w:basedOn w:val="DefaultParagraphFont"/>
    <w:link w:val="Heading2"/>
    <w:semiHidden/>
    <w:rsid w:val="00F965F4"/>
    <w:rPr>
      <w:rFonts w:ascii="Arial" w:hAnsi="Arial"/>
      <w:b/>
      <w:i/>
      <w:sz w:val="24"/>
      <w:lang w:eastAsia="en-US"/>
    </w:rPr>
  </w:style>
  <w:style w:type="character" w:customStyle="1" w:styleId="Heading3Char">
    <w:name w:val="Heading 3 Char"/>
    <w:basedOn w:val="DefaultParagraphFont"/>
    <w:link w:val="Heading3"/>
    <w:semiHidden/>
    <w:rsid w:val="00F965F4"/>
    <w:rPr>
      <w:rFonts w:ascii="Arial" w:hAnsi="Arial"/>
      <w:sz w:val="24"/>
      <w:lang w:eastAsia="en-US"/>
    </w:rPr>
  </w:style>
  <w:style w:type="character" w:customStyle="1" w:styleId="Heading4Char">
    <w:name w:val="Heading 4 Char"/>
    <w:basedOn w:val="DefaultParagraphFont"/>
    <w:link w:val="Heading4"/>
    <w:semiHidden/>
    <w:rsid w:val="00F965F4"/>
    <w:rPr>
      <w:rFonts w:ascii="Arial" w:hAnsi="Arial"/>
      <w:b/>
      <w:sz w:val="24"/>
      <w:lang w:eastAsia="en-US"/>
    </w:rPr>
  </w:style>
  <w:style w:type="character" w:customStyle="1" w:styleId="Heading5Char">
    <w:name w:val="Heading 5 Char"/>
    <w:basedOn w:val="DefaultParagraphFont"/>
    <w:link w:val="Heading5"/>
    <w:semiHidden/>
    <w:rsid w:val="00F965F4"/>
    <w:rPr>
      <w:rFonts w:ascii="Arial" w:hAnsi="Arial"/>
      <w:sz w:val="22"/>
      <w:lang w:eastAsia="en-US"/>
    </w:rPr>
  </w:style>
  <w:style w:type="character" w:customStyle="1" w:styleId="Heading7Char">
    <w:name w:val="Heading 7 Char"/>
    <w:basedOn w:val="DefaultParagraphFont"/>
    <w:link w:val="Heading7"/>
    <w:semiHidden/>
    <w:rsid w:val="00F965F4"/>
    <w:rPr>
      <w:rFonts w:ascii="Arial" w:hAnsi="Arial"/>
      <w:sz w:val="22"/>
      <w:lang w:eastAsia="en-US"/>
    </w:rPr>
  </w:style>
  <w:style w:type="character" w:customStyle="1" w:styleId="ListParagraphChar">
    <w:name w:val="List Paragraph Char"/>
    <w:basedOn w:val="DefaultParagraphFont"/>
    <w:link w:val="ListParagraph"/>
    <w:uiPriority w:val="34"/>
    <w:locked/>
    <w:rsid w:val="00F965F4"/>
    <w:rPr>
      <w:rFonts w:ascii="Arial" w:hAnsi="Arial"/>
      <w:sz w:val="22"/>
      <w:szCs w:val="24"/>
    </w:rPr>
  </w:style>
  <w:style w:type="character" w:customStyle="1" w:styleId="HeadingChar">
    <w:name w:val="Heading Char"/>
    <w:basedOn w:val="DefaultParagraphFont"/>
    <w:link w:val="Heading"/>
    <w:locked/>
    <w:rsid w:val="00F965F4"/>
    <w:rPr>
      <w:rFonts w:ascii="Arial" w:hAnsi="Arial" w:cs="Arial"/>
      <w:b/>
      <w:bCs/>
      <w:sz w:val="22"/>
      <w:szCs w:val="22"/>
    </w:rPr>
  </w:style>
  <w:style w:type="paragraph" w:customStyle="1" w:styleId="Heading">
    <w:name w:val="Heading"/>
    <w:basedOn w:val="Normal"/>
    <w:link w:val="HeadingChar"/>
    <w:qFormat/>
    <w:rsid w:val="00F965F4"/>
    <w:pPr>
      <w:ind w:left="567"/>
      <w:jc w:val="left"/>
      <w:outlineLvl w:val="2"/>
    </w:pPr>
    <w:rPr>
      <w:rFonts w:cs="Arial"/>
      <w:b/>
      <w:bCs/>
      <w:szCs w:val="22"/>
    </w:rPr>
  </w:style>
  <w:style w:type="character" w:customStyle="1" w:styleId="NumberChar">
    <w:name w:val="Number Char"/>
    <w:basedOn w:val="DefaultParagraphFont"/>
    <w:link w:val="Number"/>
    <w:locked/>
    <w:rsid w:val="00F965F4"/>
    <w:rPr>
      <w:rFonts w:ascii="Arial" w:hAnsi="Arial" w:cs="Arial"/>
      <w:sz w:val="22"/>
      <w:szCs w:val="22"/>
    </w:rPr>
  </w:style>
  <w:style w:type="paragraph" w:customStyle="1" w:styleId="Number">
    <w:name w:val="Number"/>
    <w:basedOn w:val="Normal"/>
    <w:link w:val="NumberChar"/>
    <w:qFormat/>
    <w:rsid w:val="00F965F4"/>
    <w:pPr>
      <w:numPr>
        <w:numId w:val="23"/>
      </w:numPr>
      <w:autoSpaceDE w:val="0"/>
      <w:autoSpaceDN w:val="0"/>
      <w:adjustRightInd w:val="0"/>
      <w:jc w:val="left"/>
    </w:pPr>
    <w:rPr>
      <w:rFonts w:cs="Arial"/>
      <w:szCs w:val="22"/>
    </w:rPr>
  </w:style>
  <w:style w:type="character" w:customStyle="1" w:styleId="HEADINGChar0">
    <w:name w:val="HEADING Char"/>
    <w:basedOn w:val="DefaultParagraphFont"/>
    <w:link w:val="HEADING0"/>
    <w:locked/>
    <w:rsid w:val="00F965F4"/>
    <w:rPr>
      <w:rFonts w:ascii="Arial" w:hAnsi="Arial" w:cs="Arial"/>
      <w:b/>
      <w:bCs/>
      <w:sz w:val="22"/>
      <w:szCs w:val="22"/>
    </w:rPr>
  </w:style>
  <w:style w:type="paragraph" w:customStyle="1" w:styleId="HEADING0">
    <w:name w:val="HEADING"/>
    <w:basedOn w:val="Normal"/>
    <w:link w:val="HEADINGChar0"/>
    <w:qFormat/>
    <w:rsid w:val="00F965F4"/>
    <w:pPr>
      <w:ind w:firstLine="567"/>
      <w:jc w:val="left"/>
      <w:outlineLvl w:val="2"/>
    </w:pPr>
    <w:rPr>
      <w:rFonts w:cs="Arial"/>
      <w:b/>
      <w:bCs/>
      <w:szCs w:val="22"/>
    </w:rPr>
  </w:style>
  <w:style w:type="character" w:customStyle="1" w:styleId="1Char">
    <w:name w:val="1 Char"/>
    <w:basedOn w:val="DefaultParagraphFont"/>
    <w:link w:val="1"/>
    <w:locked/>
    <w:rsid w:val="00F965F4"/>
    <w:rPr>
      <w:rFonts w:ascii="Arial" w:hAnsi="Arial" w:cs="Arial"/>
      <w:sz w:val="22"/>
      <w:szCs w:val="22"/>
    </w:rPr>
  </w:style>
  <w:style w:type="paragraph" w:customStyle="1" w:styleId="1">
    <w:name w:val="1"/>
    <w:basedOn w:val="Normal"/>
    <w:link w:val="1Char"/>
    <w:qFormat/>
    <w:rsid w:val="00F965F4"/>
    <w:pPr>
      <w:tabs>
        <w:tab w:val="num" w:pos="720"/>
      </w:tabs>
      <w:adjustRightInd w:val="0"/>
      <w:ind w:left="567" w:hanging="567"/>
      <w:jc w:val="left"/>
    </w:pPr>
    <w:rPr>
      <w:rFonts w:cs="Arial"/>
      <w:szCs w:val="22"/>
    </w:rPr>
  </w:style>
  <w:style w:type="paragraph" w:customStyle="1" w:styleId="3">
    <w:name w:val="3"/>
    <w:basedOn w:val="Normal"/>
    <w:qFormat/>
    <w:rsid w:val="00F965F4"/>
    <w:pPr>
      <w:numPr>
        <w:ilvl w:val="2"/>
        <w:numId w:val="24"/>
      </w:numPr>
      <w:jc w:val="left"/>
    </w:pPr>
    <w:rPr>
      <w:rFonts w:cs="Arial"/>
      <w:szCs w:val="22"/>
    </w:rPr>
  </w:style>
  <w:style w:type="character" w:customStyle="1" w:styleId="Style7Char">
    <w:name w:val="Style7 Char"/>
    <w:basedOn w:val="DefaultParagraphFont"/>
    <w:link w:val="Style7"/>
    <w:locked/>
    <w:rsid w:val="00F965F4"/>
    <w:rPr>
      <w:rFonts w:ascii="Arial" w:hAnsi="Arial" w:cs="Arial"/>
      <w:b/>
      <w:color w:val="000000"/>
      <w:sz w:val="22"/>
      <w:szCs w:val="22"/>
      <w:lang w:eastAsia="en-US"/>
    </w:rPr>
  </w:style>
  <w:style w:type="paragraph" w:customStyle="1" w:styleId="Style7">
    <w:name w:val="Style7"/>
    <w:basedOn w:val="Normal"/>
    <w:link w:val="Style7Char"/>
    <w:qFormat/>
    <w:rsid w:val="00F965F4"/>
    <w:pPr>
      <w:tabs>
        <w:tab w:val="left" w:pos="567"/>
      </w:tabs>
      <w:autoSpaceDE w:val="0"/>
      <w:autoSpaceDN w:val="0"/>
      <w:adjustRightInd w:val="0"/>
      <w:ind w:left="567"/>
    </w:pPr>
    <w:rPr>
      <w:rFonts w:cs="Arial"/>
      <w:b/>
      <w:color w:val="000000"/>
      <w:szCs w:val="22"/>
      <w:lang w:eastAsia="en-US"/>
    </w:rPr>
  </w:style>
  <w:style w:type="character" w:customStyle="1" w:styleId="headingChar1">
    <w:name w:val="heading Char"/>
    <w:basedOn w:val="DefaultParagraphFont"/>
    <w:link w:val="heading6"/>
    <w:locked/>
    <w:rsid w:val="00F965F4"/>
    <w:rPr>
      <w:rFonts w:ascii="Arial" w:hAnsi="Arial" w:cs="Arial"/>
      <w:b/>
      <w:bCs/>
      <w:sz w:val="22"/>
      <w:szCs w:val="22"/>
    </w:rPr>
  </w:style>
  <w:style w:type="paragraph" w:customStyle="1" w:styleId="heading6">
    <w:name w:val="heading"/>
    <w:basedOn w:val="Normal"/>
    <w:link w:val="headingChar1"/>
    <w:qFormat/>
    <w:rsid w:val="00F965F4"/>
    <w:pPr>
      <w:ind w:left="567"/>
      <w:jc w:val="left"/>
      <w:outlineLvl w:val="2"/>
    </w:pPr>
    <w:rPr>
      <w:rFonts w:cs="Arial"/>
      <w:b/>
      <w:bCs/>
      <w:szCs w:val="22"/>
    </w:rPr>
  </w:style>
  <w:style w:type="character" w:customStyle="1" w:styleId="SL1Char">
    <w:name w:val="SL1 Char"/>
    <w:basedOn w:val="DefaultParagraphFont"/>
    <w:link w:val="SL1"/>
    <w:locked/>
    <w:rsid w:val="00F965F4"/>
    <w:rPr>
      <w:rFonts w:ascii="Arial" w:hAnsi="Arial" w:cs="Arial"/>
      <w:sz w:val="22"/>
      <w:szCs w:val="22"/>
    </w:rPr>
  </w:style>
  <w:style w:type="paragraph" w:customStyle="1" w:styleId="SL1">
    <w:name w:val="SL1"/>
    <w:basedOn w:val="3"/>
    <w:link w:val="SL1Char"/>
    <w:qFormat/>
    <w:rsid w:val="00F965F4"/>
  </w:style>
  <w:style w:type="character" w:customStyle="1" w:styleId="advnChar">
    <w:name w:val="advn Char"/>
    <w:basedOn w:val="DefaultParagraphFont"/>
    <w:link w:val="advn"/>
    <w:locked/>
    <w:rsid w:val="00F965F4"/>
    <w:rPr>
      <w:rFonts w:ascii="Arial" w:hAnsi="Arial" w:cs="Arial"/>
      <w:color w:val="000000"/>
      <w:sz w:val="22"/>
      <w:szCs w:val="22"/>
      <w:lang w:val="en-US"/>
    </w:rPr>
  </w:style>
  <w:style w:type="paragraph" w:customStyle="1" w:styleId="advn">
    <w:name w:val="advn"/>
    <w:basedOn w:val="Normal"/>
    <w:link w:val="advnChar"/>
    <w:qFormat/>
    <w:rsid w:val="00F965F4"/>
    <w:pPr>
      <w:numPr>
        <w:ilvl w:val="6"/>
        <w:numId w:val="23"/>
      </w:numPr>
      <w:autoSpaceDE w:val="0"/>
      <w:autoSpaceDN w:val="0"/>
      <w:adjustRightInd w:val="0"/>
      <w:ind w:left="567" w:hanging="567"/>
    </w:pPr>
    <w:rPr>
      <w:rFonts w:cs="Arial"/>
      <w:color w:val="000000"/>
      <w:szCs w:val="22"/>
      <w:lang w:val="en-US"/>
    </w:rPr>
  </w:style>
  <w:style w:type="character" w:customStyle="1" w:styleId="L1Char">
    <w:name w:val="L1 Char"/>
    <w:basedOn w:val="DefaultParagraphFont"/>
    <w:link w:val="L1"/>
    <w:locked/>
    <w:rsid w:val="00F965F4"/>
    <w:rPr>
      <w:rFonts w:ascii="Arial" w:hAnsi="Arial" w:cs="Arial"/>
      <w:sz w:val="22"/>
      <w:szCs w:val="22"/>
    </w:rPr>
  </w:style>
  <w:style w:type="paragraph" w:customStyle="1" w:styleId="L1">
    <w:name w:val="L1"/>
    <w:basedOn w:val="Normal"/>
    <w:link w:val="L1Char"/>
    <w:qFormat/>
    <w:rsid w:val="00F965F4"/>
    <w:pPr>
      <w:numPr>
        <w:ilvl w:val="1"/>
        <w:numId w:val="24"/>
      </w:numPr>
    </w:pPr>
    <w:rPr>
      <w:rFonts w:cs="Arial"/>
      <w:szCs w:val="22"/>
    </w:rPr>
  </w:style>
  <w:style w:type="character" w:customStyle="1" w:styleId="11Char">
    <w:name w:val="11 Char"/>
    <w:basedOn w:val="DefaultParagraphFont"/>
    <w:link w:val="11"/>
    <w:locked/>
    <w:rsid w:val="00AC09CE"/>
    <w:rPr>
      <w:rFonts w:ascii="Arial" w:hAnsi="Arial" w:cs="Arial"/>
      <w:sz w:val="22"/>
      <w:szCs w:val="22"/>
    </w:rPr>
  </w:style>
  <w:style w:type="paragraph" w:customStyle="1" w:styleId="11">
    <w:name w:val="11"/>
    <w:basedOn w:val="L1"/>
    <w:link w:val="11Char"/>
    <w:rsid w:val="00AC09CE"/>
    <w:pPr>
      <w:numPr>
        <w:ilvl w:val="0"/>
      </w:numPr>
    </w:pPr>
  </w:style>
  <w:style w:type="paragraph" w:customStyle="1" w:styleId="NormalBold">
    <w:name w:val="Normal + Bold"/>
    <w:basedOn w:val="Heading2"/>
    <w:rsid w:val="00F965F4"/>
    <w:pPr>
      <w:numPr>
        <w:ilvl w:val="0"/>
        <w:numId w:val="0"/>
      </w:numPr>
      <w:spacing w:before="120" w:after="120"/>
      <w:ind w:firstLine="720"/>
      <w:jc w:val="left"/>
    </w:pPr>
    <w:rPr>
      <w:i w:val="0"/>
      <w:sz w:val="22"/>
      <w:szCs w:val="22"/>
      <w:lang w:eastAsia="en-AU"/>
    </w:rPr>
  </w:style>
  <w:style w:type="character" w:customStyle="1" w:styleId="Style2">
    <w:name w:val="Style2"/>
    <w:basedOn w:val="DefaultParagraphFont"/>
    <w:uiPriority w:val="1"/>
    <w:rsid w:val="00F965F4"/>
    <w:rPr>
      <w:rFonts w:ascii="Arial" w:hAnsi="Arial" w:cs="Arial" w:hint="default"/>
      <w:i/>
      <w:iCs w:val="0"/>
      <w:sz w:val="22"/>
    </w:rPr>
  </w:style>
  <w:style w:type="paragraph" w:customStyle="1" w:styleId="Numbering">
    <w:name w:val="Numbering"/>
    <w:basedOn w:val="L1"/>
    <w:link w:val="NumberingChar"/>
    <w:qFormat/>
    <w:rsid w:val="00CD115A"/>
  </w:style>
  <w:style w:type="character" w:customStyle="1" w:styleId="NumberingChar">
    <w:name w:val="Numbering Char"/>
    <w:basedOn w:val="11Char"/>
    <w:link w:val="Numbering"/>
    <w:rsid w:val="00CD115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77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unshinecoast.qld.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ac.com.a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file:///W:\Apps\T1Property\Live\Proforma\letterhead.JPG"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ws132\T1\pro1\data\ProProd\ProForma\RAMS\Development%20Services\Common%20IDAS\FM1420Q%20Decision%20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40083-3077-4C29-A36A-3DF53CC9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FM1420Q Decision Notice</Template>
  <TotalTime>88</TotalTime>
  <Pages>14</Pages>
  <Words>4928</Words>
  <Characters>28090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Officer:</vt:lpstr>
    </vt:vector>
  </TitlesOfParts>
  <Company>MSC</Company>
  <LinksUpToDate>false</LinksUpToDate>
  <CharactersWithSpaces>32953</CharactersWithSpaces>
  <SharedDoc>false</SharedDoc>
  <HLinks>
    <vt:vector size="18" baseType="variant">
      <vt:variant>
        <vt:i4>3407995</vt:i4>
      </vt:variant>
      <vt:variant>
        <vt:i4>0</vt:i4>
      </vt:variant>
      <vt:variant>
        <vt:i4>0</vt:i4>
      </vt:variant>
      <vt:variant>
        <vt:i4>5</vt:i4>
      </vt:variant>
      <vt:variant>
        <vt:lpwstr>http://www.noosa.qld.gov.au/Planning Development/ PDOnline</vt:lpwstr>
      </vt:variant>
      <vt:variant>
        <vt:lpwstr/>
      </vt:variant>
      <vt:variant>
        <vt:i4>2359371</vt:i4>
      </vt:variant>
      <vt:variant>
        <vt:i4>-1</vt:i4>
      </vt:variant>
      <vt:variant>
        <vt:i4>2051</vt:i4>
      </vt:variant>
      <vt:variant>
        <vt:i4>1</vt:i4>
      </vt:variant>
      <vt:variant>
        <vt:lpwstr>W:\Apps\T1Property\Live\Proforma\letterhead.JPG</vt:lpwstr>
      </vt:variant>
      <vt:variant>
        <vt:lpwstr/>
      </vt:variant>
      <vt:variant>
        <vt:i4>2359371</vt:i4>
      </vt:variant>
      <vt:variant>
        <vt:i4>-1</vt:i4>
      </vt:variant>
      <vt:variant>
        <vt:i4>2052</vt:i4>
      </vt:variant>
      <vt:variant>
        <vt:i4>1</vt:i4>
      </vt:variant>
      <vt:variant>
        <vt:lpwstr>W:\Apps\T1Property\Live\Proforma\letterhead.JPG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dc:title>
  <dc:subject/>
  <dc:creator>Tui Cody</dc:creator>
  <cp:keywords/>
  <cp:lastModifiedBy>Tui Cody</cp:lastModifiedBy>
  <cp:revision>22</cp:revision>
  <cp:lastPrinted>2013-05-29T02:52:00Z</cp:lastPrinted>
  <dcterms:created xsi:type="dcterms:W3CDTF">2021-07-06T05:28:00Z</dcterms:created>
  <dcterms:modified xsi:type="dcterms:W3CDTF">2021-07-08T05:56:00Z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Tricare (Kawana Waters) Pty Ltd</vt:lpwstr>
  </property>
  <property fmtid="{D5CDD505-2E9C-101B-9397-08002B2CF9AE}" pid="3" name="DWDocClass">
    <vt:lpwstr>All Access </vt:lpwstr>
  </property>
  <property fmtid="{D5CDD505-2E9C-101B-9397-08002B2CF9AE}" pid="4" name="DWDocClassId">
    <vt:lpwstr>121</vt:lpwstr>
  </property>
  <property fmtid="{D5CDD505-2E9C-101B-9397-08002B2CF9AE}" pid="5" name="DWDocPrecis">
    <vt:lpwstr>APPROVED Decision Notice - MCU15/0186</vt:lpwstr>
  </property>
  <property fmtid="{D5CDD505-2E9C-101B-9397-08002B2CF9AE}" pid="6" name="DWDocNo">
    <vt:lpwstr>20907703</vt:lpwstr>
  </property>
  <property fmtid="{D5CDD505-2E9C-101B-9397-08002B2CF9AE}" pid="7" name="DWDocSetID">
    <vt:lpwstr>19444911</vt:lpwstr>
  </property>
  <property fmtid="{D5CDD505-2E9C-101B-9397-08002B2CF9AE}" pid="8" name="DWDocType">
    <vt:lpwstr/>
  </property>
  <property fmtid="{D5CDD505-2E9C-101B-9397-08002B2CF9AE}" pid="9" name="DWDocVersion">
    <vt:lpwstr>3</vt:lpwstr>
  </property>
</Properties>
</file>